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79B17" w14:textId="52E62F5D" w:rsidR="005E3124" w:rsidRPr="00E32D3F" w:rsidRDefault="006E6558" w:rsidP="00E32D3F">
      <w:pPr>
        <w:pStyle w:val="a7"/>
        <w:snapToGrid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eastAsia="zh-TW"/>
        </w:rPr>
      </w:pPr>
      <w:r w:rsidRPr="00E32D3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TW"/>
        </w:rPr>
        <w:t>高雄醫學大學</w:t>
      </w:r>
      <w:r w:rsidR="005E3124" w:rsidRPr="00E32D3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TW"/>
        </w:rPr>
        <w:t>執行科技部</w:t>
      </w:r>
      <w:r w:rsidRPr="00E32D3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TW"/>
        </w:rPr>
        <w:t>科研成果產業化平台計畫</w:t>
      </w:r>
      <w:r w:rsidR="005E3124" w:rsidRPr="00E32D3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eastAsia="zh-TW"/>
        </w:rPr>
        <w:t>收支管理要點</w:t>
      </w:r>
    </w:p>
    <w:p w14:paraId="02157835" w14:textId="59E0B11F" w:rsidR="005E3124" w:rsidRPr="00CC4D33" w:rsidRDefault="00FB44C2" w:rsidP="00201BC6">
      <w:pPr>
        <w:snapToGrid w:val="0"/>
        <w:spacing w:beforeLines="50" w:before="180"/>
        <w:ind w:firstLineChars="2906" w:firstLine="5812"/>
        <w:rPr>
          <w:rFonts w:eastAsia="標楷體"/>
          <w:color w:val="000000" w:themeColor="text1"/>
          <w:sz w:val="12"/>
          <w:szCs w:val="16"/>
        </w:rPr>
      </w:pPr>
      <w:r w:rsidRPr="00CC4D33">
        <w:rPr>
          <w:rFonts w:eastAsia="標楷體"/>
          <w:color w:val="000000" w:themeColor="text1"/>
          <w:sz w:val="20"/>
        </w:rPr>
        <w:t>110.05.06  109</w:t>
      </w:r>
      <w:r w:rsidRPr="00CC4D33">
        <w:rPr>
          <w:rFonts w:eastAsia="標楷體"/>
          <w:color w:val="000000" w:themeColor="text1"/>
          <w:sz w:val="20"/>
        </w:rPr>
        <w:t>學年度第</w:t>
      </w:r>
      <w:r w:rsidRPr="00CC4D33">
        <w:rPr>
          <w:rFonts w:eastAsia="標楷體"/>
          <w:color w:val="000000" w:themeColor="text1"/>
          <w:sz w:val="20"/>
        </w:rPr>
        <w:t>10</w:t>
      </w:r>
      <w:r w:rsidRPr="00CC4D33">
        <w:rPr>
          <w:rFonts w:eastAsia="標楷體"/>
          <w:color w:val="000000" w:themeColor="text1"/>
          <w:sz w:val="20"/>
        </w:rPr>
        <w:t>次行政會議通過</w:t>
      </w:r>
    </w:p>
    <w:p w14:paraId="550E9373" w14:textId="77777777" w:rsidR="001B450B" w:rsidRDefault="00A6724C" w:rsidP="001B450B">
      <w:pPr>
        <w:snapToGrid w:val="0"/>
        <w:ind w:firstLineChars="2906" w:firstLine="5812"/>
        <w:rPr>
          <w:rFonts w:eastAsia="標楷體"/>
          <w:color w:val="000000"/>
          <w:sz w:val="20"/>
          <w:szCs w:val="20"/>
        </w:rPr>
      </w:pPr>
      <w:r w:rsidRPr="00EE1916">
        <w:rPr>
          <w:rFonts w:eastAsia="標楷體" w:hint="eastAsia"/>
          <w:color w:val="000000"/>
          <w:sz w:val="20"/>
          <w:szCs w:val="20"/>
        </w:rPr>
        <w:t>1</w:t>
      </w:r>
      <w:r w:rsidRPr="00EE1916">
        <w:rPr>
          <w:rFonts w:eastAsia="標楷體"/>
          <w:color w:val="000000"/>
          <w:sz w:val="20"/>
          <w:szCs w:val="20"/>
        </w:rPr>
        <w:t>10.0</w:t>
      </w:r>
      <w:r>
        <w:rPr>
          <w:rFonts w:eastAsia="標楷體"/>
          <w:color w:val="000000"/>
          <w:sz w:val="20"/>
          <w:szCs w:val="20"/>
        </w:rPr>
        <w:t>5</w:t>
      </w:r>
      <w:r w:rsidRPr="00EE1916">
        <w:rPr>
          <w:rFonts w:eastAsia="標楷體"/>
          <w:color w:val="000000"/>
          <w:sz w:val="20"/>
          <w:szCs w:val="20"/>
        </w:rPr>
        <w:t>.</w:t>
      </w:r>
      <w:r>
        <w:rPr>
          <w:rFonts w:eastAsia="標楷體"/>
          <w:color w:val="000000"/>
          <w:sz w:val="20"/>
          <w:szCs w:val="20"/>
        </w:rPr>
        <w:t>13</w:t>
      </w:r>
      <w:r w:rsidRPr="00EE1916">
        <w:rPr>
          <w:rFonts w:eastAsia="標楷體"/>
          <w:color w:val="000000"/>
          <w:sz w:val="20"/>
          <w:szCs w:val="20"/>
        </w:rPr>
        <w:t xml:space="preserve"> </w:t>
      </w:r>
      <w:r>
        <w:rPr>
          <w:rFonts w:eastAsia="標楷體"/>
          <w:color w:val="000000"/>
          <w:sz w:val="20"/>
          <w:szCs w:val="20"/>
        </w:rPr>
        <w:t xml:space="preserve"> </w:t>
      </w:r>
      <w:r w:rsidRPr="00EE1916">
        <w:rPr>
          <w:rFonts w:eastAsia="標楷體" w:hint="eastAsia"/>
          <w:color w:val="000000"/>
          <w:sz w:val="20"/>
          <w:szCs w:val="20"/>
        </w:rPr>
        <w:t>第</w:t>
      </w:r>
      <w:r w:rsidRPr="00EE1916">
        <w:rPr>
          <w:rFonts w:eastAsia="標楷體" w:hint="eastAsia"/>
          <w:color w:val="000000"/>
          <w:sz w:val="20"/>
          <w:szCs w:val="20"/>
        </w:rPr>
        <w:t>1</w:t>
      </w:r>
      <w:r w:rsidRPr="00EE1916">
        <w:rPr>
          <w:rFonts w:eastAsia="標楷體"/>
          <w:color w:val="000000"/>
          <w:sz w:val="20"/>
          <w:szCs w:val="20"/>
        </w:rPr>
        <w:t>9</w:t>
      </w:r>
      <w:r w:rsidRPr="00EE1916">
        <w:rPr>
          <w:rFonts w:eastAsia="標楷體" w:hint="eastAsia"/>
          <w:color w:val="000000"/>
          <w:sz w:val="20"/>
          <w:szCs w:val="20"/>
        </w:rPr>
        <w:t>屆第</w:t>
      </w:r>
      <w:r w:rsidRPr="00EE1916"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4</w:t>
      </w:r>
      <w:r w:rsidRPr="00EE1916">
        <w:rPr>
          <w:rFonts w:eastAsia="標楷體" w:hint="eastAsia"/>
          <w:color w:val="000000"/>
          <w:sz w:val="20"/>
          <w:szCs w:val="20"/>
        </w:rPr>
        <w:t>次董事會議通過</w:t>
      </w:r>
    </w:p>
    <w:p w14:paraId="58D7606B" w14:textId="07B8F89F" w:rsidR="001B450B" w:rsidRPr="00DF0DD9" w:rsidRDefault="001B450B" w:rsidP="001B450B">
      <w:pPr>
        <w:snapToGrid w:val="0"/>
        <w:ind w:right="200" w:firstLineChars="2906" w:firstLine="5812"/>
        <w:rPr>
          <w:rFonts w:eastAsia="標楷體"/>
          <w:color w:val="000000" w:themeColor="text1"/>
          <w:sz w:val="16"/>
          <w:szCs w:val="16"/>
        </w:rPr>
      </w:pPr>
      <w:r>
        <w:rPr>
          <w:rFonts w:eastAsia="標楷體" w:hint="eastAsia"/>
          <w:color w:val="000000"/>
          <w:sz w:val="20"/>
          <w:szCs w:val="20"/>
        </w:rPr>
        <w:t>110.0</w:t>
      </w:r>
      <w:r>
        <w:rPr>
          <w:rFonts w:eastAsia="標楷體"/>
          <w:color w:val="000000"/>
          <w:sz w:val="20"/>
          <w:szCs w:val="20"/>
        </w:rPr>
        <w:t>6</w:t>
      </w:r>
      <w:r>
        <w:rPr>
          <w:rFonts w:eastAsia="標楷體" w:hint="eastAsia"/>
          <w:color w:val="000000"/>
          <w:sz w:val="20"/>
          <w:szCs w:val="20"/>
        </w:rPr>
        <w:t>.</w:t>
      </w:r>
      <w:r>
        <w:rPr>
          <w:rFonts w:eastAsia="標楷體"/>
          <w:color w:val="000000"/>
          <w:sz w:val="20"/>
          <w:szCs w:val="20"/>
        </w:rPr>
        <w:t>02</w:t>
      </w:r>
      <w:r>
        <w:rPr>
          <w:rFonts w:eastAsia="標楷體" w:hint="eastAsia"/>
          <w:color w:val="000000"/>
          <w:sz w:val="20"/>
          <w:szCs w:val="20"/>
        </w:rPr>
        <w:t xml:space="preserve">  </w:t>
      </w:r>
      <w:r>
        <w:rPr>
          <w:rFonts w:eastAsia="標楷體" w:hint="eastAsia"/>
          <w:color w:val="000000"/>
          <w:sz w:val="20"/>
          <w:szCs w:val="20"/>
        </w:rPr>
        <w:t>高醫產學字第</w:t>
      </w:r>
      <w:bookmarkStart w:id="0" w:name="_GoBack"/>
      <w:r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101101878</w:t>
      </w:r>
      <w:bookmarkEnd w:id="0"/>
      <w:r>
        <w:rPr>
          <w:rFonts w:eastAsia="標楷體" w:hint="eastAsia"/>
          <w:color w:val="000000"/>
          <w:sz w:val="20"/>
          <w:szCs w:val="20"/>
        </w:rPr>
        <w:t>號函公布</w:t>
      </w:r>
      <w:r>
        <w:rPr>
          <w:rFonts w:eastAsia="標楷體"/>
          <w:color w:val="000000"/>
          <w:sz w:val="20"/>
          <w:szCs w:val="20"/>
        </w:rPr>
        <w:br/>
      </w: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405"/>
      </w:tblGrid>
      <w:tr w:rsidR="000E0342" w:rsidRPr="002D40B0" w14:paraId="20B25B83" w14:textId="77777777" w:rsidTr="00201BC6">
        <w:trPr>
          <w:trHeight w:val="672"/>
        </w:trPr>
        <w:tc>
          <w:tcPr>
            <w:tcW w:w="786" w:type="dxa"/>
          </w:tcPr>
          <w:p w14:paraId="063A2633" w14:textId="77777777" w:rsidR="00BA2F1F" w:rsidRPr="002D40B0" w:rsidRDefault="00BA2F1F" w:rsidP="00201BC6">
            <w:pPr>
              <w:pStyle w:val="a7"/>
              <w:snapToGrid w:val="0"/>
              <w:spacing w:afterLines="50" w:after="180"/>
              <w:ind w:rightChars="-166" w:right="-39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一、</w:t>
            </w:r>
          </w:p>
        </w:tc>
        <w:tc>
          <w:tcPr>
            <w:tcW w:w="9405" w:type="dxa"/>
          </w:tcPr>
          <w:p w14:paraId="7FD81BE0" w14:textId="56ECB407" w:rsidR="00BA2F1F" w:rsidRPr="00446380" w:rsidRDefault="00BA2F1F" w:rsidP="00201BC6">
            <w:pPr>
              <w:pStyle w:val="a7"/>
              <w:snapToGrid w:val="0"/>
              <w:spacing w:afterLines="50" w:after="180"/>
              <w:ind w:rightChars="10" w:right="2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高雄醫學大學</w:t>
            </w:r>
            <w:r w:rsidRPr="00446380"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以下簡稱本校</w:t>
            </w:r>
            <w:r w:rsidRPr="00446380">
              <w:rPr>
                <w:rFonts w:ascii="Times New Roman" w:eastAsia="標楷體" w:hAnsi="Times New Roman" w:cs="Times New Roman"/>
                <w:sz w:val="28"/>
                <w:lang w:eastAsia="zh-TW"/>
              </w:rPr>
              <w:t>)</w:t>
            </w:r>
            <w:r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為增進學術研究成果與國內外產業鏈結，</w:t>
            </w:r>
            <w:r w:rsidR="002D40B0" w:rsidRPr="00446380">
              <w:rPr>
                <w:rFonts w:eastAsia="標楷體" w:hint="eastAsia"/>
                <w:sz w:val="28"/>
                <w:lang w:eastAsia="zh-TW"/>
              </w:rPr>
              <w:t>參與南臺灣國際產學聯盟計畫，並</w:t>
            </w:r>
            <w:r w:rsidR="002D40B0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成立平台營運辦公室</w:t>
            </w:r>
            <w:r w:rsidR="002D40B0" w:rsidRPr="00446380"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 w:rsidR="002D40B0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以下簡稱平台辦公室</w:t>
            </w:r>
            <w:r w:rsidR="002D40B0" w:rsidRPr="00446380">
              <w:rPr>
                <w:rFonts w:ascii="Times New Roman" w:eastAsia="標楷體" w:hAnsi="Times New Roman" w:cs="Times New Roman"/>
                <w:sz w:val="28"/>
                <w:lang w:eastAsia="zh-TW"/>
              </w:rPr>
              <w:t>)</w:t>
            </w:r>
            <w:r w:rsidR="002D40B0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，</w:t>
            </w:r>
            <w:r w:rsidR="002D40B0" w:rsidRPr="00446380">
              <w:rPr>
                <w:rFonts w:eastAsia="標楷體" w:hint="eastAsia"/>
                <w:sz w:val="28"/>
                <w:lang w:eastAsia="zh-TW"/>
              </w:rPr>
              <w:t>特依據「科技部補助國際產學聯盟計畫作業要點」</w:t>
            </w:r>
            <w:r w:rsidR="00250C28" w:rsidRPr="00446380">
              <w:rPr>
                <w:rFonts w:eastAsia="標楷體" w:hint="eastAsia"/>
                <w:sz w:val="28"/>
                <w:lang w:eastAsia="zh-TW"/>
              </w:rPr>
              <w:t>訂定本要點。</w:t>
            </w:r>
          </w:p>
        </w:tc>
      </w:tr>
      <w:tr w:rsidR="000E0342" w:rsidRPr="002D40B0" w14:paraId="3A4B2393" w14:textId="77777777" w:rsidTr="002D40B0">
        <w:trPr>
          <w:trHeight w:val="2011"/>
        </w:trPr>
        <w:tc>
          <w:tcPr>
            <w:tcW w:w="786" w:type="dxa"/>
          </w:tcPr>
          <w:p w14:paraId="756D7C31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-166" w:right="-39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二、</w:t>
            </w:r>
          </w:p>
        </w:tc>
        <w:tc>
          <w:tcPr>
            <w:tcW w:w="9405" w:type="dxa"/>
          </w:tcPr>
          <w:p w14:paraId="04424835" w14:textId="0808EA13" w:rsidR="001A32B1" w:rsidRPr="00446380" w:rsidRDefault="00AE65B4" w:rsidP="00201BC6">
            <w:pPr>
              <w:pStyle w:val="a7"/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為達到平台辦公室自主營運之目的，平台辦公室</w:t>
            </w:r>
            <w:r w:rsidR="00A6370F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之</w:t>
            </w:r>
            <w:r w:rsidR="00F462C9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營運</w:t>
            </w:r>
            <w:r w:rsidR="00AF696B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收入來源</w:t>
            </w:r>
            <w:r w:rsidR="00C74A37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如下</w:t>
            </w:r>
            <w:r w:rsidR="003D3C50" w:rsidRPr="00446380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：</w:t>
            </w:r>
          </w:p>
          <w:p w14:paraId="7DD8DC03" w14:textId="5137F41B" w:rsidR="003B00D2" w:rsidRPr="00446380" w:rsidRDefault="00AE65B4" w:rsidP="00201BC6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聯盟會</w:t>
            </w:r>
            <w:r w:rsidR="00BF46C6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員</w:t>
            </w:r>
            <w:r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費。</w:t>
            </w:r>
          </w:p>
          <w:p w14:paraId="037D593A" w14:textId="77777777" w:rsidR="003B00D2" w:rsidRPr="00446380" w:rsidRDefault="003B00D2" w:rsidP="00201BC6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對外服務收入（如撰寫計畫、輔導</w:t>
            </w:r>
            <w:r w:rsidRPr="00446380">
              <w:rPr>
                <w:rFonts w:ascii="Times New Roman" w:hAnsi="Times New Roman" w:cs="Times New Roman"/>
                <w:color w:val="auto"/>
                <w:sz w:val="28"/>
              </w:rPr>
              <w:t>…</w:t>
            </w:r>
            <w:r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等）。</w:t>
            </w:r>
          </w:p>
          <w:p w14:paraId="7AD4BC8A" w14:textId="1CF1C02C" w:rsidR="00AE65B4" w:rsidRPr="00446380" w:rsidRDefault="00F462C9" w:rsidP="00201BC6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產學合作維運經費</w:t>
            </w:r>
            <w:r w:rsidR="00AE65B4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：由平台辦公室促成</w:t>
            </w:r>
            <w:r w:rsidR="005B4CAD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之</w:t>
            </w:r>
            <w:r w:rsidR="00AE65B4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產學合作</w:t>
            </w:r>
            <w:r w:rsidR="00D31C51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案</w:t>
            </w:r>
            <w:r w:rsidR="003409C0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總經費</w:t>
            </w:r>
            <w:r w:rsidR="00D31C51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提撥百分之十</w:t>
            </w:r>
            <w:r w:rsidR="003738E3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。</w:t>
            </w:r>
          </w:p>
          <w:p w14:paraId="4E51FC5C" w14:textId="04CFC54E" w:rsidR="00BA2F1F" w:rsidRPr="00446380" w:rsidRDefault="00F462C9" w:rsidP="00201BC6">
            <w:pPr>
              <w:pStyle w:val="Default"/>
              <w:numPr>
                <w:ilvl w:val="0"/>
                <w:numId w:val="3"/>
              </w:numPr>
              <w:snapToGrid w:val="0"/>
              <w:spacing w:afterLines="50" w:after="180"/>
              <w:ind w:left="601" w:hanging="48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技</w:t>
            </w:r>
            <w:r w:rsidR="00D31C51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術移</w:t>
            </w:r>
            <w:r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轉維運經費</w:t>
            </w:r>
            <w:r w:rsidR="00AE65B4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：</w:t>
            </w:r>
            <w:r w:rsidR="00D31C51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由平台辦公室促成</w:t>
            </w:r>
            <w:r w:rsidR="005B4CAD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之</w:t>
            </w:r>
            <w:r w:rsidR="00082B66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技術移轉案</w:t>
            </w:r>
            <w:r w:rsidR="003409C0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技轉金</w:t>
            </w:r>
            <w:r w:rsidR="00082B66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提撥</w:t>
            </w:r>
            <w:r w:rsidR="00AE65B4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百分之十</w:t>
            </w:r>
            <w:r w:rsidR="00BA2F1F" w:rsidRPr="00446380">
              <w:rPr>
                <w:rFonts w:ascii="Times New Roman" w:hAnsi="Times New Roman" w:cs="Times New Roman" w:hint="eastAsia"/>
                <w:color w:val="auto"/>
                <w:sz w:val="28"/>
              </w:rPr>
              <w:t>。</w:t>
            </w:r>
          </w:p>
        </w:tc>
      </w:tr>
      <w:tr w:rsidR="000E0342" w:rsidRPr="002D40B0" w14:paraId="7E4A8661" w14:textId="77777777" w:rsidTr="00EF7D49">
        <w:trPr>
          <w:trHeight w:val="1590"/>
        </w:trPr>
        <w:tc>
          <w:tcPr>
            <w:tcW w:w="786" w:type="dxa"/>
          </w:tcPr>
          <w:p w14:paraId="6FA0832F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-166" w:right="-39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三、</w:t>
            </w:r>
          </w:p>
        </w:tc>
        <w:tc>
          <w:tcPr>
            <w:tcW w:w="9405" w:type="dxa"/>
          </w:tcPr>
          <w:p w14:paraId="7BD59888" w14:textId="6F3EA524" w:rsidR="003D3C50" w:rsidRPr="002D40B0" w:rsidRDefault="003D3C50" w:rsidP="00201BC6">
            <w:pPr>
              <w:pStyle w:val="a7"/>
              <w:snapToGrid w:val="0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平台辦公室</w:t>
            </w:r>
            <w:r w:rsidR="00706AD6"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之</w:t>
            </w:r>
            <w:r w:rsidR="008223A7"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營運</w:t>
            </w:r>
            <w:r w:rsidR="00AF696B"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支出用途</w:t>
            </w: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如下：</w:t>
            </w:r>
          </w:p>
          <w:p w14:paraId="4C49A05A" w14:textId="5152439F" w:rsidR="00EF7D49" w:rsidRPr="002D40B0" w:rsidRDefault="00EF7D49" w:rsidP="00201BC6">
            <w:pPr>
              <w:pStyle w:val="a7"/>
              <w:numPr>
                <w:ilvl w:val="0"/>
                <w:numId w:val="1"/>
              </w:numPr>
              <w:autoSpaceDE/>
              <w:autoSpaceDN/>
              <w:snapToGrid w:val="0"/>
              <w:ind w:left="601" w:hanging="5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計畫主持人、產業聯絡專家、專業經理人、助理、臨時工、工讀生、實習津貼等相關人事費用。</w:t>
            </w:r>
          </w:p>
          <w:p w14:paraId="3F997BC8" w14:textId="77777777" w:rsidR="00EF7D49" w:rsidRPr="002D40B0" w:rsidRDefault="00EF7D49" w:rsidP="00201BC6">
            <w:pPr>
              <w:pStyle w:val="a7"/>
              <w:numPr>
                <w:ilvl w:val="0"/>
                <w:numId w:val="1"/>
              </w:numPr>
              <w:autoSpaceDE/>
              <w:autoSpaceDN/>
              <w:snapToGrid w:val="0"/>
              <w:ind w:left="601" w:hanging="5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會員服務、舉辦論壇、邀請國內外學者、專家來校講座、參與會議、合作研究及實驗指導等相關費用。</w:t>
            </w:r>
          </w:p>
          <w:p w14:paraId="7E2E6E63" w14:textId="77777777" w:rsidR="00EF7D49" w:rsidRPr="002D40B0" w:rsidRDefault="00EF7D49" w:rsidP="00201BC6">
            <w:pPr>
              <w:pStyle w:val="a7"/>
              <w:numPr>
                <w:ilvl w:val="0"/>
                <w:numId w:val="1"/>
              </w:numPr>
              <w:autoSpaceDE/>
              <w:autoSpaceDN/>
              <w:snapToGrid w:val="0"/>
              <w:ind w:left="601" w:hanging="5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為促進產學合作、技術研究或相關計畫需要，個人或研究群服務產業之顧問費、技術服務費及前往國外之差旅費。</w:t>
            </w:r>
          </w:p>
          <w:p w14:paraId="564DB7C9" w14:textId="77777777" w:rsidR="00EF7D49" w:rsidRPr="002D40B0" w:rsidRDefault="00EF7D49" w:rsidP="00201BC6">
            <w:pPr>
              <w:pStyle w:val="a7"/>
              <w:numPr>
                <w:ilvl w:val="0"/>
                <w:numId w:val="1"/>
              </w:numPr>
              <w:autoSpaceDE/>
              <w:autoSpaceDN/>
              <w:snapToGrid w:val="0"/>
              <w:ind w:left="601" w:hanging="5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因公出差費用、參展費用及其他與促進產學合作、技術研究有關之設備費及雜項費用等。</w:t>
            </w:r>
          </w:p>
          <w:p w14:paraId="7E90828A" w14:textId="77777777" w:rsidR="00EF7D49" w:rsidRPr="002D40B0" w:rsidRDefault="00EF7D49" w:rsidP="00201BC6">
            <w:pPr>
              <w:pStyle w:val="a7"/>
              <w:numPr>
                <w:ilvl w:val="0"/>
                <w:numId w:val="1"/>
              </w:numPr>
              <w:autoSpaceDE/>
              <w:autoSpaceDN/>
              <w:snapToGrid w:val="0"/>
              <w:ind w:left="601" w:hanging="5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二代健保機關負擔補充保費。</w:t>
            </w:r>
          </w:p>
          <w:p w14:paraId="08ECF740" w14:textId="77777777" w:rsidR="00EF7D49" w:rsidRPr="002D40B0" w:rsidRDefault="00EF7D49" w:rsidP="00201BC6">
            <w:pPr>
              <w:pStyle w:val="a7"/>
              <w:numPr>
                <w:ilvl w:val="0"/>
                <w:numId w:val="1"/>
              </w:numPr>
              <w:autoSpaceDE/>
              <w:autoSpaceDN/>
              <w:snapToGrid w:val="0"/>
              <w:ind w:left="601" w:hanging="5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研發成果管理及推廣、智慧財產權相關業務使用。</w:t>
            </w:r>
          </w:p>
          <w:p w14:paraId="05D60355" w14:textId="77777777" w:rsidR="00BA2F1F" w:rsidRPr="002D40B0" w:rsidRDefault="00EF7D49" w:rsidP="00201BC6">
            <w:pPr>
              <w:pStyle w:val="a7"/>
              <w:numPr>
                <w:ilvl w:val="0"/>
                <w:numId w:val="1"/>
              </w:numPr>
              <w:autoSpaceDE/>
              <w:autoSpaceDN/>
              <w:snapToGrid w:val="0"/>
              <w:spacing w:afterLines="50" w:after="180"/>
              <w:ind w:left="601" w:hanging="5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其他經專案簽准支用項目之費用。</w:t>
            </w:r>
          </w:p>
        </w:tc>
      </w:tr>
      <w:tr w:rsidR="000E0342" w:rsidRPr="002D40B0" w14:paraId="6EF29797" w14:textId="77777777" w:rsidTr="00201BC6">
        <w:trPr>
          <w:trHeight w:val="603"/>
        </w:trPr>
        <w:tc>
          <w:tcPr>
            <w:tcW w:w="786" w:type="dxa"/>
          </w:tcPr>
          <w:p w14:paraId="0C12216A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-166" w:right="-39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四、</w:t>
            </w:r>
          </w:p>
        </w:tc>
        <w:tc>
          <w:tcPr>
            <w:tcW w:w="9405" w:type="dxa"/>
          </w:tcPr>
          <w:p w14:paraId="2BEE45A5" w14:textId="1796E3A8" w:rsidR="00AF6145" w:rsidRPr="002D40B0" w:rsidRDefault="002C5614" w:rsidP="00201BC6">
            <w:pPr>
              <w:snapToGrid w:val="0"/>
              <w:spacing w:afterLines="50" w:after="180"/>
              <w:jc w:val="both"/>
              <w:rPr>
                <w:rFonts w:hAnsi="標楷體"/>
                <w:color w:val="000000" w:themeColor="text1"/>
                <w:sz w:val="28"/>
              </w:rPr>
            </w:pPr>
            <w:r w:rsidRPr="002D40B0">
              <w:rPr>
                <w:rFonts w:eastAsia="標楷體" w:hint="eastAsia"/>
                <w:color w:val="000000" w:themeColor="text1"/>
                <w:sz w:val="28"/>
              </w:rPr>
              <w:t>平台辦公室之營運收入應提列百分之十作為本校管理費，營運支出</w:t>
            </w:r>
            <w:r w:rsidRPr="002D40B0">
              <w:rPr>
                <w:rFonts w:eastAsia="標楷體"/>
                <w:color w:val="000000" w:themeColor="text1"/>
                <w:sz w:val="28"/>
              </w:rPr>
              <w:t>應配合本校相關規定辦理</w:t>
            </w:r>
            <w:r w:rsidRPr="002D40B0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</w:tc>
      </w:tr>
      <w:tr w:rsidR="000E0342" w:rsidRPr="002D40B0" w14:paraId="7E0D4FA2" w14:textId="77777777" w:rsidTr="00EF7D49">
        <w:tc>
          <w:tcPr>
            <w:tcW w:w="786" w:type="dxa"/>
          </w:tcPr>
          <w:p w14:paraId="6BAE7516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-166" w:right="-39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五、</w:t>
            </w:r>
          </w:p>
        </w:tc>
        <w:tc>
          <w:tcPr>
            <w:tcW w:w="9405" w:type="dxa"/>
          </w:tcPr>
          <w:p w14:paraId="1ECEC94D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科技部科研成果產業化平台計畫結束且經本校決議不繼續執行，剩餘經費應全數解繳本校。</w:t>
            </w:r>
          </w:p>
        </w:tc>
      </w:tr>
      <w:tr w:rsidR="000E0342" w:rsidRPr="002D40B0" w14:paraId="159F4347" w14:textId="77777777" w:rsidTr="00EF7D49">
        <w:tc>
          <w:tcPr>
            <w:tcW w:w="786" w:type="dxa"/>
          </w:tcPr>
          <w:p w14:paraId="5FB4F0B0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-166" w:right="-39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六、</w:t>
            </w:r>
          </w:p>
        </w:tc>
        <w:tc>
          <w:tcPr>
            <w:tcW w:w="9405" w:type="dxa"/>
          </w:tcPr>
          <w:p w14:paraId="3B826D13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本要點未盡事宜，依政府法令及科技部相關規定辦理。</w:t>
            </w:r>
          </w:p>
        </w:tc>
      </w:tr>
      <w:tr w:rsidR="00BA2F1F" w:rsidRPr="002D40B0" w14:paraId="1660BF67" w14:textId="77777777" w:rsidTr="00EF7D49">
        <w:tc>
          <w:tcPr>
            <w:tcW w:w="786" w:type="dxa"/>
          </w:tcPr>
          <w:p w14:paraId="19E4B850" w14:textId="77777777" w:rsidR="00BA2F1F" w:rsidRPr="002D40B0" w:rsidRDefault="00EF7D49" w:rsidP="00201BC6">
            <w:pPr>
              <w:pStyle w:val="a7"/>
              <w:snapToGrid w:val="0"/>
              <w:spacing w:afterLines="50" w:after="180"/>
              <w:ind w:rightChars="-166" w:right="-39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七、</w:t>
            </w:r>
          </w:p>
        </w:tc>
        <w:tc>
          <w:tcPr>
            <w:tcW w:w="9405" w:type="dxa"/>
          </w:tcPr>
          <w:p w14:paraId="767F8D68" w14:textId="691E8BB0" w:rsidR="00BA2F1F" w:rsidRPr="002D40B0" w:rsidRDefault="00EF7D49" w:rsidP="00201BC6">
            <w:pPr>
              <w:pStyle w:val="a7"/>
              <w:snapToGrid w:val="0"/>
              <w:spacing w:afterLines="50" w:after="180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lang w:eastAsia="zh-TW"/>
              </w:rPr>
            </w:pP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本要點經行政會議</w:t>
            </w:r>
            <w:r w:rsidR="00EF098D"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、</w:t>
            </w:r>
            <w:r w:rsidRPr="002D40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lang w:eastAsia="zh-TW"/>
              </w:rPr>
              <w:t>董事會會議審議通過後，自公布日起實施，修正時亦同。</w:t>
            </w:r>
          </w:p>
        </w:tc>
      </w:tr>
    </w:tbl>
    <w:p w14:paraId="189B8632" w14:textId="77777777" w:rsidR="001E4DAB" w:rsidRPr="00E32D3F" w:rsidRDefault="001E4DAB">
      <w:pPr>
        <w:rPr>
          <w:color w:val="000000" w:themeColor="text1"/>
        </w:rPr>
      </w:pPr>
    </w:p>
    <w:sectPr w:rsidR="001E4DAB" w:rsidRPr="00E32D3F" w:rsidSect="004249F0">
      <w:headerReference w:type="default" r:id="rId8"/>
      <w:footerReference w:type="default" r:id="rId9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AE13C" w14:textId="77777777" w:rsidR="005D6788" w:rsidRDefault="005D6788" w:rsidP="005E3124">
      <w:r>
        <w:separator/>
      </w:r>
    </w:p>
  </w:endnote>
  <w:endnote w:type="continuationSeparator" w:id="0">
    <w:p w14:paraId="0D6891E4" w14:textId="77777777" w:rsidR="005D6788" w:rsidRDefault="005D6788" w:rsidP="005E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5DC2" w14:textId="7FF48C4F" w:rsidR="00DF0DD9" w:rsidRDefault="00DF0DD9" w:rsidP="00DF0DD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57AA" w14:textId="77777777" w:rsidR="005D6788" w:rsidRDefault="005D6788" w:rsidP="005E3124">
      <w:r>
        <w:separator/>
      </w:r>
    </w:p>
  </w:footnote>
  <w:footnote w:type="continuationSeparator" w:id="0">
    <w:p w14:paraId="28053C7F" w14:textId="77777777" w:rsidR="005D6788" w:rsidRDefault="005D6788" w:rsidP="005E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49D35" w14:textId="320733BF" w:rsidR="0027549D" w:rsidRDefault="0027549D" w:rsidP="0027549D">
    <w:pPr>
      <w:pStyle w:val="a3"/>
      <w:ind w:right="440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3E21"/>
    <w:multiLevelType w:val="hybridMultilevel"/>
    <w:tmpl w:val="800A90C8"/>
    <w:lvl w:ilvl="0" w:tplc="D1C06126">
      <w:start w:val="1"/>
      <w:numFmt w:val="taiwaneseCountingThousand"/>
      <w:lvlText w:val="(%1)"/>
      <w:lvlJc w:val="left"/>
      <w:pPr>
        <w:ind w:left="63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C5D0521"/>
    <w:multiLevelType w:val="hybridMultilevel"/>
    <w:tmpl w:val="B2866C90"/>
    <w:lvl w:ilvl="0" w:tplc="F678264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E7EC8"/>
    <w:multiLevelType w:val="hybridMultilevel"/>
    <w:tmpl w:val="4494460E"/>
    <w:lvl w:ilvl="0" w:tplc="E078DD3E">
      <w:start w:val="1"/>
      <w:numFmt w:val="taiwaneseCountingThousand"/>
      <w:lvlText w:val="(%1)"/>
      <w:lvlJc w:val="left"/>
      <w:pPr>
        <w:ind w:left="600" w:hanging="480"/>
      </w:pPr>
      <w:rPr>
        <w:rFonts w:hint="default"/>
        <w:strike/>
        <w:color w:val="538135" w:themeColor="accent6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77566B8"/>
    <w:multiLevelType w:val="hybridMultilevel"/>
    <w:tmpl w:val="951CDD8C"/>
    <w:lvl w:ilvl="0" w:tplc="9962EA0C">
      <w:start w:val="1"/>
      <w:numFmt w:val="taiwaneseCountingThousand"/>
      <w:lvlText w:val="(%1)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4" w15:restartNumberingAfterBreak="0">
    <w:nsid w:val="597A5687"/>
    <w:multiLevelType w:val="hybridMultilevel"/>
    <w:tmpl w:val="6C8A649E"/>
    <w:lvl w:ilvl="0" w:tplc="9962EA0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D"/>
    <w:rsid w:val="00007514"/>
    <w:rsid w:val="00012570"/>
    <w:rsid w:val="00040560"/>
    <w:rsid w:val="00041B4B"/>
    <w:rsid w:val="00044B78"/>
    <w:rsid w:val="00050CB7"/>
    <w:rsid w:val="000827F6"/>
    <w:rsid w:val="00082B66"/>
    <w:rsid w:val="00093B43"/>
    <w:rsid w:val="00094F8D"/>
    <w:rsid w:val="000A7260"/>
    <w:rsid w:val="000B28C2"/>
    <w:rsid w:val="000E0342"/>
    <w:rsid w:val="00114EBD"/>
    <w:rsid w:val="0012377E"/>
    <w:rsid w:val="00147567"/>
    <w:rsid w:val="00162056"/>
    <w:rsid w:val="0016776A"/>
    <w:rsid w:val="00180876"/>
    <w:rsid w:val="001A32B1"/>
    <w:rsid w:val="001B20CD"/>
    <w:rsid w:val="001B450B"/>
    <w:rsid w:val="001D37F9"/>
    <w:rsid w:val="001E4DAB"/>
    <w:rsid w:val="001E7B12"/>
    <w:rsid w:val="001F1763"/>
    <w:rsid w:val="00201BC6"/>
    <w:rsid w:val="00206F73"/>
    <w:rsid w:val="00250C28"/>
    <w:rsid w:val="0027549D"/>
    <w:rsid w:val="00275AA1"/>
    <w:rsid w:val="00295D3C"/>
    <w:rsid w:val="002C5614"/>
    <w:rsid w:val="002D40B0"/>
    <w:rsid w:val="002E030B"/>
    <w:rsid w:val="002E4215"/>
    <w:rsid w:val="00320402"/>
    <w:rsid w:val="003409C0"/>
    <w:rsid w:val="003738E3"/>
    <w:rsid w:val="003A1FC3"/>
    <w:rsid w:val="003A68EA"/>
    <w:rsid w:val="003B00D2"/>
    <w:rsid w:val="003C0B42"/>
    <w:rsid w:val="003D271B"/>
    <w:rsid w:val="003D3C50"/>
    <w:rsid w:val="00403210"/>
    <w:rsid w:val="00410C70"/>
    <w:rsid w:val="004249F0"/>
    <w:rsid w:val="00446380"/>
    <w:rsid w:val="004616D9"/>
    <w:rsid w:val="004A1F7E"/>
    <w:rsid w:val="00512C7B"/>
    <w:rsid w:val="00517859"/>
    <w:rsid w:val="00586D41"/>
    <w:rsid w:val="00590BDF"/>
    <w:rsid w:val="005B4CAD"/>
    <w:rsid w:val="005D3800"/>
    <w:rsid w:val="005D6788"/>
    <w:rsid w:val="005E3124"/>
    <w:rsid w:val="005F1D40"/>
    <w:rsid w:val="006B27F3"/>
    <w:rsid w:val="006B3BE9"/>
    <w:rsid w:val="006E6558"/>
    <w:rsid w:val="006E72C7"/>
    <w:rsid w:val="006F69FB"/>
    <w:rsid w:val="00703844"/>
    <w:rsid w:val="00706AD6"/>
    <w:rsid w:val="0075764A"/>
    <w:rsid w:val="007A5A8D"/>
    <w:rsid w:val="007D3693"/>
    <w:rsid w:val="007F0BE3"/>
    <w:rsid w:val="0081324E"/>
    <w:rsid w:val="008221EF"/>
    <w:rsid w:val="008223A7"/>
    <w:rsid w:val="00861582"/>
    <w:rsid w:val="00886A68"/>
    <w:rsid w:val="00887B0B"/>
    <w:rsid w:val="008B2B3B"/>
    <w:rsid w:val="008D706E"/>
    <w:rsid w:val="00945C2B"/>
    <w:rsid w:val="00975AF1"/>
    <w:rsid w:val="009D3EEE"/>
    <w:rsid w:val="009D4003"/>
    <w:rsid w:val="009E48D0"/>
    <w:rsid w:val="009F4336"/>
    <w:rsid w:val="00A04041"/>
    <w:rsid w:val="00A1754D"/>
    <w:rsid w:val="00A6370F"/>
    <w:rsid w:val="00A6724C"/>
    <w:rsid w:val="00AD764E"/>
    <w:rsid w:val="00AE65B4"/>
    <w:rsid w:val="00AF6145"/>
    <w:rsid w:val="00AF696B"/>
    <w:rsid w:val="00B33BC4"/>
    <w:rsid w:val="00B7174D"/>
    <w:rsid w:val="00B870A9"/>
    <w:rsid w:val="00BA2F18"/>
    <w:rsid w:val="00BA2F1F"/>
    <w:rsid w:val="00BC1319"/>
    <w:rsid w:val="00BF46C6"/>
    <w:rsid w:val="00BF4B38"/>
    <w:rsid w:val="00C06CF4"/>
    <w:rsid w:val="00C1123E"/>
    <w:rsid w:val="00C455F3"/>
    <w:rsid w:val="00C74A37"/>
    <w:rsid w:val="00C76DD7"/>
    <w:rsid w:val="00CC207C"/>
    <w:rsid w:val="00CC4D33"/>
    <w:rsid w:val="00CD4917"/>
    <w:rsid w:val="00CD643B"/>
    <w:rsid w:val="00D31C51"/>
    <w:rsid w:val="00DB12DB"/>
    <w:rsid w:val="00DB4384"/>
    <w:rsid w:val="00DB5D28"/>
    <w:rsid w:val="00DE66A9"/>
    <w:rsid w:val="00DF0DD9"/>
    <w:rsid w:val="00E0106F"/>
    <w:rsid w:val="00E32D3F"/>
    <w:rsid w:val="00E3400B"/>
    <w:rsid w:val="00E678AC"/>
    <w:rsid w:val="00E9727F"/>
    <w:rsid w:val="00EF098D"/>
    <w:rsid w:val="00EF7D49"/>
    <w:rsid w:val="00F409B7"/>
    <w:rsid w:val="00F462C9"/>
    <w:rsid w:val="00F56BEC"/>
    <w:rsid w:val="00FA1217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59302"/>
  <w15:chartTrackingRefBased/>
  <w15:docId w15:val="{5B090BB7-062D-4E4B-9DA2-DA3D9ABE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124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5E3124"/>
    <w:pPr>
      <w:autoSpaceDE w:val="0"/>
      <w:autoSpaceDN w:val="0"/>
    </w:pPr>
    <w:rPr>
      <w:rFonts w:ascii="細明體_HKSCS" w:eastAsia="細明體_HKSCS" w:hAnsi="細明體_HKSCS" w:cs="細明體_HKSCS"/>
      <w:kern w:val="0"/>
      <w:lang w:eastAsia="en-US"/>
    </w:rPr>
  </w:style>
  <w:style w:type="character" w:customStyle="1" w:styleId="a8">
    <w:name w:val="本文 字元"/>
    <w:basedOn w:val="a0"/>
    <w:link w:val="a7"/>
    <w:uiPriority w:val="1"/>
    <w:rsid w:val="005E3124"/>
    <w:rPr>
      <w:rFonts w:ascii="細明體_HKSCS" w:eastAsia="細明體_HKSCS" w:hAnsi="細明體_HKSCS" w:cs="細明體_HKSCS"/>
      <w:kern w:val="0"/>
      <w:szCs w:val="24"/>
      <w:lang w:eastAsia="en-US"/>
    </w:rPr>
  </w:style>
  <w:style w:type="table" w:styleId="a9">
    <w:name w:val="Table Grid"/>
    <w:basedOn w:val="a1"/>
    <w:uiPriority w:val="39"/>
    <w:rsid w:val="00BA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1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4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4C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06C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6CF4"/>
  </w:style>
  <w:style w:type="character" w:customStyle="1" w:styleId="ae">
    <w:name w:val="註解文字 字元"/>
    <w:basedOn w:val="a0"/>
    <w:link w:val="ad"/>
    <w:uiPriority w:val="99"/>
    <w:semiHidden/>
    <w:rsid w:val="00C06CF4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6C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06CF4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Revision"/>
    <w:hidden/>
    <w:uiPriority w:val="99"/>
    <w:semiHidden/>
    <w:rsid w:val="002D40B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FC62-E3D1-4758-9229-2664073C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2021-05-06T09:59:00Z</cp:lastPrinted>
  <dcterms:created xsi:type="dcterms:W3CDTF">2021-06-07T01:10:00Z</dcterms:created>
  <dcterms:modified xsi:type="dcterms:W3CDTF">2021-06-07T01:10:00Z</dcterms:modified>
</cp:coreProperties>
</file>