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C2" w:rsidRPr="0041214E" w:rsidRDefault="00C805C2" w:rsidP="003C79EA">
      <w:pPr>
        <w:ind w:rightChars="-31" w:right="-74"/>
        <w:rPr>
          <w:rFonts w:ascii="標楷體" w:eastAsia="標楷體" w:hAnsi="標楷體"/>
          <w:b/>
          <w:color w:val="000000"/>
          <w:sz w:val="30"/>
          <w:szCs w:val="30"/>
        </w:rPr>
      </w:pPr>
      <w:bookmarkStart w:id="0" w:name="_GoBack"/>
      <w:bookmarkEnd w:id="0"/>
      <w:r w:rsidRPr="0041214E">
        <w:rPr>
          <w:rFonts w:ascii="標楷體" w:eastAsia="標楷體" w:hAnsi="標楷體" w:hint="eastAsia"/>
          <w:b/>
          <w:color w:val="000000"/>
          <w:sz w:val="30"/>
          <w:szCs w:val="30"/>
        </w:rPr>
        <w:t>高雄醫學大學</w:t>
      </w:r>
      <w:bookmarkStart w:id="1" w:name="_Hlk104217533"/>
      <w:r w:rsidR="00786E7A" w:rsidRPr="0041214E">
        <w:rPr>
          <w:rFonts w:ascii="標楷體" w:eastAsia="標楷體" w:hAnsi="標楷體" w:hint="eastAsia"/>
          <w:b/>
          <w:color w:val="000000"/>
          <w:sz w:val="30"/>
          <w:szCs w:val="30"/>
        </w:rPr>
        <w:t>口腔醫學院</w:t>
      </w:r>
      <w:proofErr w:type="gramStart"/>
      <w:r w:rsidRPr="0041214E">
        <w:rPr>
          <w:rFonts w:ascii="標楷體" w:eastAsia="標楷體" w:hAnsi="標楷體" w:hint="eastAsia"/>
          <w:b/>
          <w:color w:val="000000"/>
          <w:sz w:val="30"/>
          <w:szCs w:val="30"/>
        </w:rPr>
        <w:t>厭氧暨</w:t>
      </w:r>
      <w:proofErr w:type="gramEnd"/>
      <w:r w:rsidRPr="0041214E">
        <w:rPr>
          <w:rFonts w:ascii="標楷體" w:eastAsia="標楷體" w:hAnsi="標楷體" w:hint="eastAsia"/>
          <w:b/>
          <w:color w:val="000000"/>
          <w:sz w:val="30"/>
          <w:szCs w:val="30"/>
        </w:rPr>
        <w:t>口腔微生物研究中心設置辦法</w:t>
      </w:r>
      <w:bookmarkEnd w:id="1"/>
    </w:p>
    <w:p w:rsidR="00CD3C67" w:rsidRDefault="00CD3C67" w:rsidP="00CD3C67">
      <w:pPr>
        <w:snapToGrid w:val="0"/>
        <w:ind w:leftChars="1535" w:left="3684" w:rightChars="-31" w:right="-74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CD3C67">
        <w:rPr>
          <w:rFonts w:eastAsia="標楷體"/>
          <w:color w:val="000000"/>
          <w:sz w:val="20"/>
          <w:szCs w:val="20"/>
          <w:shd w:val="clear" w:color="auto" w:fill="FFFFFF"/>
        </w:rPr>
        <w:t>1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11.03.09</w:t>
      </w:r>
      <w:r w:rsidRPr="00CD3C67">
        <w:rPr>
          <w:rFonts w:eastAsia="標楷體"/>
          <w:color w:val="000000"/>
          <w:sz w:val="20"/>
          <w:szCs w:val="20"/>
          <w:shd w:val="clear" w:color="auto" w:fill="FFFFFF"/>
        </w:rPr>
        <w:t xml:space="preserve"> </w:t>
      </w:r>
      <w:r w:rsidRPr="00CD3C67">
        <w:rPr>
          <w:rFonts w:eastAsia="標楷體"/>
          <w:color w:val="000000"/>
          <w:sz w:val="20"/>
          <w:szCs w:val="20"/>
          <w:shd w:val="clear" w:color="auto" w:fill="FFFFFF"/>
        </w:rPr>
        <w:t>口腔醫學院</w:t>
      </w:r>
      <w:r>
        <w:rPr>
          <w:rFonts w:eastAsia="標楷體"/>
          <w:color w:val="000000"/>
          <w:sz w:val="20"/>
          <w:szCs w:val="20"/>
          <w:shd w:val="clear" w:color="auto" w:fill="FFFFFF"/>
        </w:rPr>
        <w:t>110</w:t>
      </w:r>
      <w:r w:rsidRPr="00CD3C67">
        <w:rPr>
          <w:rFonts w:eastAsia="標楷體"/>
          <w:color w:val="000000"/>
          <w:sz w:val="20"/>
          <w:szCs w:val="20"/>
          <w:shd w:val="clear" w:color="auto" w:fill="FFFFFF"/>
        </w:rPr>
        <w:t>學年度第</w:t>
      </w:r>
      <w:r w:rsidRPr="00CD3C67">
        <w:rPr>
          <w:rFonts w:eastAsia="標楷體"/>
          <w:color w:val="000000"/>
          <w:sz w:val="20"/>
          <w:szCs w:val="20"/>
          <w:shd w:val="clear" w:color="auto" w:fill="FFFFFF"/>
        </w:rPr>
        <w:t>8</w:t>
      </w:r>
      <w:r w:rsidRPr="00CD3C67">
        <w:rPr>
          <w:rFonts w:eastAsia="標楷體"/>
          <w:color w:val="000000"/>
          <w:sz w:val="20"/>
          <w:szCs w:val="20"/>
          <w:shd w:val="clear" w:color="auto" w:fill="FFFFFF"/>
        </w:rPr>
        <w:t>次院</w:t>
      </w:r>
      <w:proofErr w:type="gramStart"/>
      <w:r w:rsidRPr="00CD3C67">
        <w:rPr>
          <w:rFonts w:eastAsia="標楷體"/>
          <w:color w:val="000000"/>
          <w:sz w:val="20"/>
          <w:szCs w:val="20"/>
          <w:shd w:val="clear" w:color="auto" w:fill="FFFFFF"/>
        </w:rPr>
        <w:t>務</w:t>
      </w:r>
      <w:proofErr w:type="gramEnd"/>
      <w:r w:rsidRPr="00CD3C67">
        <w:rPr>
          <w:rFonts w:eastAsia="標楷體"/>
          <w:color w:val="000000"/>
          <w:sz w:val="20"/>
          <w:szCs w:val="20"/>
          <w:shd w:val="clear" w:color="auto" w:fill="FFFFFF"/>
        </w:rPr>
        <w:t>會議通過</w:t>
      </w:r>
    </w:p>
    <w:p w:rsidR="007F3A89" w:rsidRDefault="007F3A89" w:rsidP="00CD3C67">
      <w:pPr>
        <w:snapToGrid w:val="0"/>
        <w:ind w:leftChars="1535" w:left="3684" w:rightChars="-31" w:right="-74"/>
        <w:rPr>
          <w:rFonts w:eastAsia="標楷體"/>
          <w:color w:val="000000"/>
          <w:sz w:val="20"/>
          <w:szCs w:val="20"/>
          <w:shd w:val="clear" w:color="auto" w:fill="FFFFFF"/>
        </w:rPr>
      </w:pPr>
      <w:r w:rsidRPr="007F3A89">
        <w:rPr>
          <w:rFonts w:eastAsia="標楷體" w:hint="eastAsia"/>
          <w:color w:val="000000"/>
          <w:sz w:val="20"/>
          <w:szCs w:val="20"/>
          <w:shd w:val="clear" w:color="auto" w:fill="FFFFFF"/>
        </w:rPr>
        <w:t xml:space="preserve">111.05.12 110 </w:t>
      </w:r>
      <w:r w:rsidRPr="007F3A89">
        <w:rPr>
          <w:rFonts w:eastAsia="標楷體" w:hint="eastAsia"/>
          <w:color w:val="000000"/>
          <w:sz w:val="20"/>
          <w:szCs w:val="20"/>
          <w:shd w:val="clear" w:color="auto" w:fill="FFFFFF"/>
        </w:rPr>
        <w:t>學年度第</w:t>
      </w:r>
      <w:r w:rsidRPr="007F3A89">
        <w:rPr>
          <w:rFonts w:eastAsia="標楷體" w:hint="eastAsia"/>
          <w:color w:val="000000"/>
          <w:sz w:val="20"/>
          <w:szCs w:val="20"/>
          <w:shd w:val="clear" w:color="auto" w:fill="FFFFFF"/>
        </w:rPr>
        <w:t xml:space="preserve">10 </w:t>
      </w:r>
      <w:r w:rsidRPr="007F3A89">
        <w:rPr>
          <w:rFonts w:eastAsia="標楷體" w:hint="eastAsia"/>
          <w:color w:val="000000"/>
          <w:sz w:val="20"/>
          <w:szCs w:val="20"/>
          <w:shd w:val="clear" w:color="auto" w:fill="FFFFFF"/>
        </w:rPr>
        <w:t>次行政會議通過</w:t>
      </w:r>
    </w:p>
    <w:p w:rsidR="00CE11B9" w:rsidRPr="00CD3C67" w:rsidRDefault="00CE11B9" w:rsidP="00CD3C67">
      <w:pPr>
        <w:snapToGrid w:val="0"/>
        <w:ind w:leftChars="1535" w:left="3684" w:rightChars="-31" w:right="-74"/>
        <w:rPr>
          <w:rFonts w:eastAsia="標楷體" w:hint="eastAsia"/>
          <w:color w:val="000000"/>
          <w:sz w:val="20"/>
          <w:szCs w:val="20"/>
          <w:shd w:val="clear" w:color="auto" w:fill="FFFFFF"/>
        </w:rPr>
      </w:pPr>
      <w:r>
        <w:rPr>
          <w:rFonts w:eastAsia="標楷體"/>
          <w:sz w:val="20"/>
        </w:rPr>
        <w:t>111.05.27</w:t>
      </w:r>
      <w:r>
        <w:rPr>
          <w:rFonts w:eastAsia="標楷體" w:hint="eastAsia"/>
          <w:sz w:val="20"/>
        </w:rPr>
        <w:t>高</w:t>
      </w:r>
      <w:proofErr w:type="gramStart"/>
      <w:r>
        <w:rPr>
          <w:rFonts w:eastAsia="標楷體" w:hint="eastAsia"/>
          <w:sz w:val="20"/>
        </w:rPr>
        <w:t>醫院口字第</w:t>
      </w:r>
      <w:r>
        <w:rPr>
          <w:rFonts w:eastAsia="標楷體"/>
          <w:sz w:val="20"/>
        </w:rPr>
        <w:t>1111102046</w:t>
      </w:r>
      <w:r>
        <w:rPr>
          <w:rFonts w:eastAsia="標楷體" w:hint="eastAsia"/>
          <w:sz w:val="20"/>
        </w:rPr>
        <w:t>號</w:t>
      </w:r>
      <w:proofErr w:type="gramEnd"/>
      <w:r>
        <w:rPr>
          <w:rFonts w:eastAsia="標楷體" w:hint="eastAsia"/>
          <w:sz w:val="20"/>
        </w:rPr>
        <w:t>函公布</w:t>
      </w:r>
    </w:p>
    <w:p w:rsidR="00CD3C67" w:rsidRDefault="00CD3C67" w:rsidP="00CD3C67">
      <w:pPr>
        <w:snapToGrid w:val="0"/>
        <w:ind w:leftChars="1535" w:left="3684" w:rightChars="-31" w:right="-74"/>
        <w:rPr>
          <w:rFonts w:eastAsia="標楷體"/>
          <w:b/>
          <w:color w:val="000000"/>
          <w:sz w:val="20"/>
          <w:szCs w:val="20"/>
        </w:rPr>
      </w:pPr>
    </w:p>
    <w:p w:rsidR="00CE11B9" w:rsidRPr="0041214E" w:rsidRDefault="00CE11B9" w:rsidP="00CD3C67">
      <w:pPr>
        <w:snapToGrid w:val="0"/>
        <w:ind w:leftChars="1535" w:left="3684" w:rightChars="-31" w:right="-74"/>
        <w:rPr>
          <w:rFonts w:eastAsia="標楷體" w:hint="eastAsia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7775"/>
      </w:tblGrid>
      <w:tr w:rsidR="00EF3624" w:rsidRPr="0041214E" w:rsidTr="00EF3624">
        <w:tc>
          <w:tcPr>
            <w:tcW w:w="1134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第</w:t>
            </w:r>
            <w:r w:rsidRPr="0041214E">
              <w:rPr>
                <w:rFonts w:eastAsia="標楷體"/>
                <w:color w:val="000000"/>
                <w:kern w:val="0"/>
              </w:rPr>
              <w:t>1</w:t>
            </w:r>
            <w:r w:rsidRPr="0041214E">
              <w:rPr>
                <w:rFonts w:eastAsia="標楷體"/>
                <w:color w:val="000000"/>
                <w:kern w:val="0"/>
              </w:rPr>
              <w:t>條</w:t>
            </w:r>
          </w:p>
        </w:tc>
        <w:tc>
          <w:tcPr>
            <w:tcW w:w="7971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Lines="50" w:after="18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</w:rPr>
              <w:t>為結合口腔醫學院（以下簡稱本學院）基礎及臨床醫學研究者互享資源，發展整合性的研究模式，以提昇並建立</w:t>
            </w:r>
            <w:proofErr w:type="gramStart"/>
            <w:r w:rsidRPr="0041214E">
              <w:rPr>
                <w:rFonts w:eastAsia="標楷體"/>
                <w:color w:val="000000"/>
              </w:rPr>
              <w:t>厭氧與</w:t>
            </w:r>
            <w:proofErr w:type="gramEnd"/>
            <w:r w:rsidRPr="0041214E">
              <w:rPr>
                <w:rFonts w:eastAsia="標楷體"/>
                <w:color w:val="000000"/>
              </w:rPr>
              <w:t>口腔微生物領域致病機轉之研究特色</w:t>
            </w:r>
            <w:r w:rsidRPr="0041214E">
              <w:rPr>
                <w:rFonts w:eastAsia="標楷體"/>
                <w:color w:val="000000"/>
                <w:kern w:val="0"/>
              </w:rPr>
              <w:t>，依據本學院設置辦法第五條及本校研究中心設置辦法，設置</w:t>
            </w:r>
            <w:proofErr w:type="gramStart"/>
            <w:r w:rsidRPr="0041214E">
              <w:rPr>
                <w:rFonts w:eastAsia="標楷體"/>
                <w:color w:val="000000"/>
              </w:rPr>
              <w:t>厭氧</w:t>
            </w:r>
            <w:proofErr w:type="gramEnd"/>
            <w:r w:rsidRPr="0041214E">
              <w:rPr>
                <w:rFonts w:eastAsia="標楷體"/>
                <w:color w:val="000000"/>
              </w:rPr>
              <w:t>暨口腔微生物研究中心</w:t>
            </w:r>
            <w:r w:rsidRPr="0041214E">
              <w:rPr>
                <w:rFonts w:eastAsia="標楷體"/>
                <w:color w:val="000000"/>
                <w:kern w:val="0"/>
              </w:rPr>
              <w:t>(</w:t>
            </w:r>
            <w:r w:rsidRPr="0041214E">
              <w:rPr>
                <w:rFonts w:eastAsia="標楷體"/>
                <w:color w:val="000000"/>
                <w:kern w:val="0"/>
              </w:rPr>
              <w:t>以下簡稱本中心</w:t>
            </w:r>
            <w:r w:rsidRPr="0041214E">
              <w:rPr>
                <w:rFonts w:eastAsia="標楷體"/>
                <w:color w:val="000000"/>
                <w:kern w:val="0"/>
              </w:rPr>
              <w:t xml:space="preserve">) </w:t>
            </w:r>
            <w:r w:rsidRPr="0041214E">
              <w:rPr>
                <w:rFonts w:eastAsia="標楷體"/>
                <w:color w:val="000000"/>
                <w:kern w:val="0"/>
              </w:rPr>
              <w:t>，並訂定本辦法。</w:t>
            </w:r>
          </w:p>
        </w:tc>
      </w:tr>
      <w:tr w:rsidR="00EF3624" w:rsidRPr="0041214E" w:rsidTr="00EF3624">
        <w:tc>
          <w:tcPr>
            <w:tcW w:w="1134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第</w:t>
            </w:r>
            <w:r w:rsidRPr="0041214E">
              <w:rPr>
                <w:rFonts w:eastAsia="標楷體"/>
                <w:color w:val="000000"/>
                <w:kern w:val="0"/>
              </w:rPr>
              <w:t>2</w:t>
            </w:r>
            <w:r w:rsidRPr="0041214E">
              <w:rPr>
                <w:rFonts w:eastAsia="標楷體"/>
                <w:color w:val="000000"/>
                <w:kern w:val="0"/>
              </w:rPr>
              <w:t>條</w:t>
            </w:r>
          </w:p>
        </w:tc>
        <w:tc>
          <w:tcPr>
            <w:tcW w:w="7971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41214E">
              <w:rPr>
                <w:rFonts w:ascii="標楷體" w:eastAsia="標楷體" w:hAnsi="標楷體" w:cs="細明體"/>
                <w:color w:val="000000"/>
                <w:kern w:val="0"/>
              </w:rPr>
              <w:t>本中心任務如下：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ind w:leftChars="0" w:left="595" w:hanging="5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探討台灣特有</w:t>
            </w:r>
            <w:proofErr w:type="gramStart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厭氧菌</w:t>
            </w:r>
            <w:proofErr w:type="gramEnd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與全身系統感染疾病之關連性及其菌種分析與資訊之建立。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ind w:leftChars="0" w:left="595" w:hanging="5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探討台灣特有口腔微生物與局部及全身系統感染疾病</w:t>
            </w: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關連性及其菌種資訊之建立。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ind w:leftChars="0" w:left="595" w:hanging="5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研發及建立台灣</w:t>
            </w:r>
            <w:proofErr w:type="gramStart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特有厭氧細菌</w:t>
            </w:r>
            <w:proofErr w:type="gramEnd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及口腔微生物之抗藥性資料庫，降低嚴重濫用抗生素及健保醫療成本，</w:t>
            </w: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提出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臨床疾患</w:t>
            </w: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之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有效診治對策。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ind w:leftChars="0" w:left="595" w:hanging="5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探</w:t>
            </w:r>
            <w:proofErr w:type="gramStart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討厭氧</w:t>
            </w:r>
            <w:proofErr w:type="gramEnd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及口腔病源菌與宿主</w:t>
            </w: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疾病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之關連性及其致病機轉。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ind w:leftChars="0" w:left="595" w:hanging="5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研發快速簡便的微生物免疫檢測</w:t>
            </w: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方法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proofErr w:type="gramStart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以利感染病</w:t>
            </w:r>
            <w:proofErr w:type="gramEnd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之診斷與治療。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ind w:leftChars="0" w:left="595" w:hanging="5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應用天然</w:t>
            </w:r>
            <w:proofErr w:type="gramStart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藥物於抑菌</w:t>
            </w:r>
            <w:proofErr w:type="gramEnd"/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、殺菌、牙周</w:t>
            </w: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牙髓等疾病之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治療及口腔保健相關之研發。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ind w:leftChars="0" w:left="595" w:hanging="5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國內外產學</w:t>
            </w:r>
            <w:r w:rsidR="005F16DF"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與</w:t>
            </w: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研究合作案之持續推動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特別是南科植牙產業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ind w:leftChars="0" w:left="595" w:hanging="59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建立高</w:t>
            </w:r>
            <w:proofErr w:type="gramStart"/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醫</w:t>
            </w:r>
            <w:proofErr w:type="gramEnd"/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體系醫療與研究團隊之合作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EC35DD" w:rsidRPr="0041214E" w:rsidRDefault="00EC35DD" w:rsidP="00EF3624">
            <w:pPr>
              <w:pStyle w:val="a7"/>
              <w:numPr>
                <w:ilvl w:val="0"/>
                <w:numId w:val="1"/>
              </w:numPr>
              <w:spacing w:afterLines="50" w:after="180"/>
              <w:ind w:leftChars="0" w:left="595" w:hanging="595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41214E">
              <w:rPr>
                <w:rFonts w:ascii="Times New Roman" w:eastAsia="標楷體" w:hAnsi="Times New Roman" w:hint="eastAsia"/>
                <w:color w:val="000000"/>
                <w:szCs w:val="24"/>
              </w:rPr>
              <w:t>相關領域之教育訓練與人才培育</w:t>
            </w:r>
            <w:r w:rsidRPr="0041214E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</w:tr>
      <w:tr w:rsidR="00EF3624" w:rsidRPr="0041214E" w:rsidTr="00EF3624">
        <w:tc>
          <w:tcPr>
            <w:tcW w:w="1134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第</w:t>
            </w:r>
            <w:r w:rsidRPr="0041214E">
              <w:rPr>
                <w:rFonts w:eastAsia="標楷體"/>
                <w:color w:val="000000"/>
                <w:kern w:val="0"/>
              </w:rPr>
              <w:t>3</w:t>
            </w:r>
            <w:r w:rsidRPr="0041214E">
              <w:rPr>
                <w:rFonts w:eastAsia="標楷體"/>
                <w:color w:val="000000"/>
                <w:kern w:val="0"/>
              </w:rPr>
              <w:t>條</w:t>
            </w:r>
          </w:p>
        </w:tc>
        <w:tc>
          <w:tcPr>
            <w:tcW w:w="7971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Lines="50" w:after="18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本中心置主任一</w:t>
            </w:r>
            <w:r w:rsidR="00D006A1" w:rsidRPr="0041214E">
              <w:rPr>
                <w:rFonts w:eastAsia="標楷體" w:hint="eastAsia"/>
                <w:color w:val="000000"/>
                <w:kern w:val="0"/>
              </w:rPr>
              <w:t>名</w:t>
            </w:r>
            <w:r w:rsidRPr="0041214E">
              <w:rPr>
                <w:rFonts w:eastAsia="標楷體"/>
                <w:color w:val="000000"/>
                <w:kern w:val="0"/>
              </w:rPr>
              <w:t>，綜理中心業務，</w:t>
            </w:r>
            <w:r w:rsidRPr="0041214E">
              <w:rPr>
                <w:rFonts w:eastAsia="標楷體"/>
                <w:color w:val="000000"/>
              </w:rPr>
              <w:t>由學院院長就副教授以上專任教師遴選，陳請校長聘任或聘兼之。另視需要</w:t>
            </w:r>
            <w:proofErr w:type="gramStart"/>
            <w:r w:rsidRPr="0041214E">
              <w:rPr>
                <w:rFonts w:eastAsia="標楷體"/>
                <w:color w:val="000000"/>
              </w:rPr>
              <w:t>得置副主任</w:t>
            </w:r>
            <w:proofErr w:type="gramEnd"/>
            <w:r w:rsidRPr="0041214E">
              <w:rPr>
                <w:rFonts w:eastAsia="標楷體"/>
                <w:color w:val="000000"/>
              </w:rPr>
              <w:t>、研究人員、技術人員、行政人員等若干名。</w:t>
            </w:r>
          </w:p>
        </w:tc>
      </w:tr>
      <w:tr w:rsidR="00EF3624" w:rsidRPr="0041214E" w:rsidTr="00EF3624">
        <w:tc>
          <w:tcPr>
            <w:tcW w:w="1134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第</w:t>
            </w:r>
            <w:r w:rsidRPr="0041214E">
              <w:rPr>
                <w:rFonts w:eastAsia="標楷體"/>
                <w:color w:val="000000"/>
                <w:kern w:val="0"/>
              </w:rPr>
              <w:t>4</w:t>
            </w:r>
            <w:r w:rsidRPr="0041214E">
              <w:rPr>
                <w:rFonts w:eastAsia="標楷體"/>
                <w:color w:val="000000"/>
                <w:kern w:val="0"/>
              </w:rPr>
              <w:t>條</w:t>
            </w:r>
          </w:p>
        </w:tc>
        <w:tc>
          <w:tcPr>
            <w:tcW w:w="7971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Lines="50" w:after="18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本中心</w:t>
            </w:r>
            <w:r w:rsidRPr="0041214E">
              <w:rPr>
                <w:rFonts w:eastAsia="標楷體"/>
                <w:color w:val="000000"/>
              </w:rPr>
              <w:t>所需經費及人力以自行籌措為原則，其經費報支</w:t>
            </w:r>
            <w:r w:rsidR="00D006A1" w:rsidRPr="0041214E">
              <w:rPr>
                <w:rFonts w:eastAsia="標楷體" w:hint="eastAsia"/>
                <w:color w:val="000000"/>
              </w:rPr>
              <w:t>應</w:t>
            </w:r>
            <w:r w:rsidRPr="0041214E">
              <w:rPr>
                <w:rFonts w:eastAsia="標楷體"/>
                <w:color w:val="000000"/>
              </w:rPr>
              <w:t>依本校相關規定辦理。</w:t>
            </w:r>
          </w:p>
        </w:tc>
      </w:tr>
      <w:tr w:rsidR="00EF3624" w:rsidRPr="0041214E" w:rsidTr="00EF3624">
        <w:tc>
          <w:tcPr>
            <w:tcW w:w="1134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第</w:t>
            </w:r>
            <w:r w:rsidRPr="0041214E">
              <w:rPr>
                <w:rFonts w:eastAsia="標楷體"/>
                <w:color w:val="000000"/>
                <w:kern w:val="0"/>
              </w:rPr>
              <w:t>5</w:t>
            </w:r>
            <w:r w:rsidRPr="0041214E">
              <w:rPr>
                <w:rFonts w:eastAsia="標楷體"/>
                <w:color w:val="000000"/>
                <w:kern w:val="0"/>
              </w:rPr>
              <w:t>條</w:t>
            </w:r>
          </w:p>
        </w:tc>
        <w:tc>
          <w:tcPr>
            <w:tcW w:w="7971" w:type="dxa"/>
            <w:shd w:val="clear" w:color="auto" w:fill="auto"/>
          </w:tcPr>
          <w:p w:rsidR="00EC35DD" w:rsidRPr="0041214E" w:rsidRDefault="004A5C8F" w:rsidP="006F28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Lines="50" w:after="18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 w:hint="eastAsia"/>
                <w:color w:val="000000"/>
              </w:rPr>
              <w:t>本中心績效應依據本學院</w:t>
            </w:r>
            <w:proofErr w:type="gramStart"/>
            <w:r w:rsidRPr="0041214E">
              <w:rPr>
                <w:rFonts w:eastAsia="標楷體" w:hint="eastAsia"/>
                <w:color w:val="000000"/>
              </w:rPr>
              <w:t>院</w:t>
            </w:r>
            <w:proofErr w:type="gramEnd"/>
            <w:r w:rsidRPr="0041214E">
              <w:rPr>
                <w:rFonts w:eastAsia="標楷體" w:hint="eastAsia"/>
                <w:color w:val="000000"/>
              </w:rPr>
              <w:t>級研究中心評鑑辦法評核</w:t>
            </w:r>
            <w:r w:rsidR="00694124" w:rsidRPr="0041214E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EF3624" w:rsidRPr="0041214E" w:rsidTr="00EF3624">
        <w:tc>
          <w:tcPr>
            <w:tcW w:w="1134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第</w:t>
            </w:r>
            <w:r w:rsidRPr="0041214E">
              <w:rPr>
                <w:rFonts w:eastAsia="標楷體"/>
                <w:color w:val="000000"/>
                <w:kern w:val="0"/>
              </w:rPr>
              <w:t>6</w:t>
            </w:r>
            <w:r w:rsidRPr="0041214E">
              <w:rPr>
                <w:rFonts w:eastAsia="標楷體"/>
                <w:color w:val="000000"/>
                <w:kern w:val="0"/>
              </w:rPr>
              <w:t>條</w:t>
            </w:r>
          </w:p>
        </w:tc>
        <w:tc>
          <w:tcPr>
            <w:tcW w:w="7971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Lines="50" w:after="18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</w:rPr>
              <w:t>本辦法未明訂事項，依本校相關規定辦理</w:t>
            </w:r>
            <w:r w:rsidRPr="0041214E">
              <w:rPr>
                <w:rFonts w:eastAsia="標楷體"/>
                <w:color w:val="000000"/>
                <w:kern w:val="0"/>
              </w:rPr>
              <w:t>。</w:t>
            </w:r>
          </w:p>
        </w:tc>
      </w:tr>
      <w:tr w:rsidR="00EF3624" w:rsidRPr="0041214E" w:rsidTr="00EF3624">
        <w:tc>
          <w:tcPr>
            <w:tcW w:w="1134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第</w:t>
            </w:r>
            <w:r w:rsidRPr="0041214E">
              <w:rPr>
                <w:rFonts w:eastAsia="標楷體"/>
                <w:color w:val="000000"/>
                <w:kern w:val="0"/>
              </w:rPr>
              <w:t>7</w:t>
            </w:r>
            <w:r w:rsidRPr="0041214E">
              <w:rPr>
                <w:rFonts w:eastAsia="標楷體"/>
                <w:color w:val="000000"/>
                <w:kern w:val="0"/>
              </w:rPr>
              <w:t>條</w:t>
            </w:r>
          </w:p>
        </w:tc>
        <w:tc>
          <w:tcPr>
            <w:tcW w:w="7971" w:type="dxa"/>
            <w:shd w:val="clear" w:color="auto" w:fill="auto"/>
          </w:tcPr>
          <w:p w:rsidR="00EC35DD" w:rsidRPr="0041214E" w:rsidRDefault="00EC35DD" w:rsidP="00EF36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Lines="50" w:after="180"/>
              <w:rPr>
                <w:rFonts w:eastAsia="標楷體"/>
                <w:color w:val="000000"/>
                <w:kern w:val="0"/>
              </w:rPr>
            </w:pPr>
            <w:r w:rsidRPr="0041214E">
              <w:rPr>
                <w:rFonts w:eastAsia="標楷體"/>
                <w:color w:val="000000"/>
                <w:kern w:val="0"/>
              </w:rPr>
              <w:t>本辦法經院</w:t>
            </w:r>
            <w:proofErr w:type="gramStart"/>
            <w:r w:rsidRPr="0041214E">
              <w:rPr>
                <w:rFonts w:eastAsia="標楷體"/>
                <w:color w:val="000000"/>
                <w:kern w:val="0"/>
              </w:rPr>
              <w:t>務</w:t>
            </w:r>
            <w:proofErr w:type="gramEnd"/>
            <w:r w:rsidRPr="0041214E">
              <w:rPr>
                <w:rFonts w:eastAsia="標楷體"/>
                <w:color w:val="000000"/>
                <w:kern w:val="0"/>
              </w:rPr>
              <w:t>會議及行政會議</w:t>
            </w:r>
            <w:r w:rsidRPr="0041214E">
              <w:rPr>
                <w:rFonts w:eastAsia="標楷體" w:hint="eastAsia"/>
                <w:color w:val="000000"/>
                <w:kern w:val="0"/>
              </w:rPr>
              <w:t>審議</w:t>
            </w:r>
            <w:r w:rsidRPr="0041214E">
              <w:rPr>
                <w:rFonts w:eastAsia="標楷體"/>
                <w:color w:val="000000"/>
                <w:kern w:val="0"/>
              </w:rPr>
              <w:t>通過</w:t>
            </w:r>
            <w:r w:rsidRPr="0041214E">
              <w:rPr>
                <w:rFonts w:eastAsia="標楷體" w:hint="eastAsia"/>
                <w:color w:val="000000"/>
                <w:kern w:val="0"/>
              </w:rPr>
              <w:t>後</w:t>
            </w:r>
            <w:r w:rsidRPr="0041214E">
              <w:rPr>
                <w:rFonts w:eastAsia="標楷體"/>
                <w:color w:val="000000"/>
              </w:rPr>
              <w:t>，自公布日起實施，修正時亦同</w:t>
            </w:r>
            <w:r w:rsidRPr="0041214E">
              <w:rPr>
                <w:rFonts w:eastAsia="標楷體"/>
                <w:color w:val="000000"/>
                <w:kern w:val="0"/>
              </w:rPr>
              <w:t>。</w:t>
            </w:r>
          </w:p>
        </w:tc>
      </w:tr>
    </w:tbl>
    <w:p w:rsidR="00694124" w:rsidRPr="0041214E" w:rsidRDefault="00694124" w:rsidP="008975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960" w:hangingChars="400" w:hanging="960"/>
        <w:rPr>
          <w:rFonts w:ascii="標楷體" w:eastAsia="標楷體" w:hAnsi="標楷體" w:cs="細明體" w:hint="eastAsia"/>
          <w:color w:val="000000"/>
          <w:kern w:val="0"/>
        </w:rPr>
      </w:pPr>
    </w:p>
    <w:sectPr w:rsidR="00694124" w:rsidRPr="0041214E" w:rsidSect="001A34FF">
      <w:pgSz w:w="11906" w:h="16838"/>
      <w:pgMar w:top="1134" w:right="1469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19A" w:rsidRDefault="002A019A" w:rsidP="00D21CAE">
      <w:r>
        <w:separator/>
      </w:r>
    </w:p>
  </w:endnote>
  <w:endnote w:type="continuationSeparator" w:id="0">
    <w:p w:rsidR="002A019A" w:rsidRDefault="002A019A" w:rsidP="00D2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19A" w:rsidRDefault="002A019A" w:rsidP="00D21CAE">
      <w:r>
        <w:separator/>
      </w:r>
    </w:p>
  </w:footnote>
  <w:footnote w:type="continuationSeparator" w:id="0">
    <w:p w:rsidR="002A019A" w:rsidRDefault="002A019A" w:rsidP="00D2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E5FED"/>
    <w:multiLevelType w:val="hybridMultilevel"/>
    <w:tmpl w:val="8ABAA0D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C2"/>
    <w:rsid w:val="00003D11"/>
    <w:rsid w:val="000361DF"/>
    <w:rsid w:val="00041FA3"/>
    <w:rsid w:val="000918D2"/>
    <w:rsid w:val="000C1105"/>
    <w:rsid w:val="001A34FF"/>
    <w:rsid w:val="00205CB7"/>
    <w:rsid w:val="00252C99"/>
    <w:rsid w:val="002A019A"/>
    <w:rsid w:val="00394A0C"/>
    <w:rsid w:val="003C79EA"/>
    <w:rsid w:val="0041214E"/>
    <w:rsid w:val="00424C57"/>
    <w:rsid w:val="00481F50"/>
    <w:rsid w:val="004A0CDA"/>
    <w:rsid w:val="004A5C8F"/>
    <w:rsid w:val="00535907"/>
    <w:rsid w:val="0057516E"/>
    <w:rsid w:val="005F16DF"/>
    <w:rsid w:val="006236E5"/>
    <w:rsid w:val="00641793"/>
    <w:rsid w:val="006751A9"/>
    <w:rsid w:val="006834CA"/>
    <w:rsid w:val="00684378"/>
    <w:rsid w:val="00694124"/>
    <w:rsid w:val="006A037C"/>
    <w:rsid w:val="006F2830"/>
    <w:rsid w:val="00701988"/>
    <w:rsid w:val="0073287F"/>
    <w:rsid w:val="00786E7A"/>
    <w:rsid w:val="007F3A89"/>
    <w:rsid w:val="008332A7"/>
    <w:rsid w:val="0087034A"/>
    <w:rsid w:val="008975C6"/>
    <w:rsid w:val="008A79FB"/>
    <w:rsid w:val="00913053"/>
    <w:rsid w:val="009446D2"/>
    <w:rsid w:val="00946516"/>
    <w:rsid w:val="009502D7"/>
    <w:rsid w:val="00950C1A"/>
    <w:rsid w:val="009D68C6"/>
    <w:rsid w:val="00A56409"/>
    <w:rsid w:val="00A57F3C"/>
    <w:rsid w:val="00AC1A89"/>
    <w:rsid w:val="00AE229F"/>
    <w:rsid w:val="00B73C0E"/>
    <w:rsid w:val="00B86865"/>
    <w:rsid w:val="00BF150B"/>
    <w:rsid w:val="00C148FE"/>
    <w:rsid w:val="00C53E7F"/>
    <w:rsid w:val="00C805C2"/>
    <w:rsid w:val="00C97BA2"/>
    <w:rsid w:val="00CD3C67"/>
    <w:rsid w:val="00CE11B9"/>
    <w:rsid w:val="00D006A1"/>
    <w:rsid w:val="00D21CAE"/>
    <w:rsid w:val="00D46A29"/>
    <w:rsid w:val="00D46A93"/>
    <w:rsid w:val="00D52641"/>
    <w:rsid w:val="00DE5616"/>
    <w:rsid w:val="00DE5945"/>
    <w:rsid w:val="00E40E2F"/>
    <w:rsid w:val="00E46378"/>
    <w:rsid w:val="00E7131C"/>
    <w:rsid w:val="00E739F2"/>
    <w:rsid w:val="00EC35DD"/>
    <w:rsid w:val="00EF3624"/>
    <w:rsid w:val="00EF6055"/>
    <w:rsid w:val="00F65925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31410-E527-4F65-945A-0B3AC38C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12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C805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D21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21CAE"/>
    <w:rPr>
      <w:kern w:val="2"/>
    </w:rPr>
  </w:style>
  <w:style w:type="paragraph" w:styleId="a5">
    <w:name w:val="footer"/>
    <w:basedOn w:val="a"/>
    <w:link w:val="a6"/>
    <w:rsid w:val="00D21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21CAE"/>
    <w:rPr>
      <w:kern w:val="2"/>
    </w:rPr>
  </w:style>
  <w:style w:type="paragraph" w:styleId="a7">
    <w:name w:val="List Paragraph"/>
    <w:basedOn w:val="a"/>
    <w:link w:val="a8"/>
    <w:uiPriority w:val="34"/>
    <w:qFormat/>
    <w:rsid w:val="008A79FB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rsid w:val="00EC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預設格式 字元"/>
    <w:link w:val="HTML"/>
    <w:uiPriority w:val="99"/>
    <w:rsid w:val="004A5C8F"/>
    <w:rPr>
      <w:rFonts w:ascii="細明體" w:eastAsia="細明體" w:hAnsi="細明體" w:cs="細明體"/>
      <w:sz w:val="24"/>
      <w:szCs w:val="24"/>
    </w:rPr>
  </w:style>
  <w:style w:type="character" w:customStyle="1" w:styleId="a8">
    <w:name w:val="清單段落 字元"/>
    <w:link w:val="a7"/>
    <w:uiPriority w:val="34"/>
    <w:rsid w:val="004A5C8F"/>
    <w:rPr>
      <w:rFonts w:ascii="Calibri" w:hAnsi="Calibri"/>
      <w:kern w:val="2"/>
      <w:sz w:val="24"/>
      <w:szCs w:val="22"/>
    </w:rPr>
  </w:style>
  <w:style w:type="character" w:customStyle="1" w:styleId="10">
    <w:name w:val="標題 1 字元"/>
    <w:link w:val="1"/>
    <w:uiPriority w:val="9"/>
    <w:rsid w:val="00694124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CMT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高雄醫學大學厭氧暨口腔微生物研究中心設置辦法（草案）</dc:title>
  <dc:subject/>
  <dc:creator>user</dc:creator>
  <cp:keywords/>
  <dc:description/>
  <cp:lastModifiedBy>user</cp:lastModifiedBy>
  <cp:revision>2</cp:revision>
  <cp:lastPrinted>2022-04-06T07:51:00Z</cp:lastPrinted>
  <dcterms:created xsi:type="dcterms:W3CDTF">2022-05-30T03:37:00Z</dcterms:created>
  <dcterms:modified xsi:type="dcterms:W3CDTF">2022-05-30T03:37:00Z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230749454</vt:i4>
  </property>
  <property fmtid="{D5CDD505-2E9C-101B-9397-08002B2CF9AE}" pid="3" name="_EmailSubject">
    <vt:lpwstr> 厭氧暨口腔微生物研究中心設置辦法草案(950510研考會通過)</vt:lpwstr>
  </property>
  <property fmtid="{D5CDD505-2E9C-101B-9397-08002B2CF9AE}" pid="4" name="_AuthorEmail">
    <vt:lpwstr>alicelin@kmu.edu.tw</vt:lpwstr>
  </property>
  <property fmtid="{D5CDD505-2E9C-101B-9397-08002B2CF9AE}" pid="5" name="_AuthorEmailDisplayName">
    <vt:lpwstr>高醫研發/林妍吟</vt:lpwstr>
  </property>
  <property fmtid="{D5CDD505-2E9C-101B-9397-08002B2CF9AE}" pid="6" name="_ReviewingToolsShownOnce">
    <vt:lpwstr/>
  </property>
</Properties>
</file>