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96" w:rsidRPr="00903CC8" w:rsidRDefault="00536C96" w:rsidP="00536C96">
      <w:pPr>
        <w:jc w:val="center"/>
        <w:rPr>
          <w:rFonts w:eastAsia="標楷體"/>
          <w:b/>
          <w:color w:val="000000"/>
          <w:sz w:val="32"/>
          <w:szCs w:val="32"/>
        </w:rPr>
      </w:pPr>
      <w:r w:rsidRPr="00903CC8">
        <w:rPr>
          <w:rFonts w:eastAsia="標楷體"/>
          <w:b/>
          <w:color w:val="000000"/>
          <w:sz w:val="32"/>
          <w:szCs w:val="32"/>
        </w:rPr>
        <w:t>高雄醫學大學內部控制制度實施辦法</w:t>
      </w:r>
    </w:p>
    <w:p w:rsidR="00536C96" w:rsidRDefault="00536C96" w:rsidP="00536C96">
      <w:pPr>
        <w:ind w:leftChars="1600" w:left="3840"/>
        <w:rPr>
          <w:rFonts w:eastAsia="標楷體"/>
          <w:color w:val="000000"/>
          <w:sz w:val="20"/>
        </w:rPr>
      </w:pPr>
      <w:r w:rsidRPr="00903CC8">
        <w:rPr>
          <w:rFonts w:eastAsia="標楷體" w:hint="eastAsia"/>
          <w:color w:val="000000"/>
          <w:sz w:val="20"/>
        </w:rPr>
        <w:t>104.12.02  104</w:t>
      </w:r>
      <w:r w:rsidRPr="00903CC8">
        <w:rPr>
          <w:rFonts w:eastAsia="標楷體" w:hint="eastAsia"/>
          <w:color w:val="000000"/>
          <w:sz w:val="20"/>
        </w:rPr>
        <w:t>學年度第</w:t>
      </w:r>
      <w:r w:rsidRPr="00903CC8">
        <w:rPr>
          <w:rFonts w:eastAsia="標楷體" w:hint="eastAsia"/>
          <w:color w:val="000000"/>
          <w:sz w:val="20"/>
        </w:rPr>
        <w:t>2</w:t>
      </w:r>
      <w:r w:rsidRPr="00903CC8">
        <w:rPr>
          <w:rFonts w:eastAsia="標楷體" w:hint="eastAsia"/>
          <w:color w:val="000000"/>
          <w:sz w:val="20"/>
        </w:rPr>
        <w:t>次校務會議通過</w:t>
      </w:r>
    </w:p>
    <w:p w:rsidR="00536C96" w:rsidRDefault="00536C96" w:rsidP="00536C96">
      <w:pPr>
        <w:ind w:leftChars="1600" w:left="3840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104.12.28  </w:t>
      </w:r>
      <w:r>
        <w:rPr>
          <w:rFonts w:eastAsia="標楷體" w:hint="eastAsia"/>
          <w:color w:val="000000"/>
          <w:sz w:val="20"/>
        </w:rPr>
        <w:t>第十七屆第二十六次董事會議通過</w:t>
      </w:r>
    </w:p>
    <w:p w:rsidR="00721C3C" w:rsidRPr="00721C3C" w:rsidRDefault="00721C3C" w:rsidP="00536C96">
      <w:pPr>
        <w:ind w:leftChars="1600" w:left="3840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105.01.19  </w:t>
      </w:r>
      <w:r w:rsidRPr="00721C3C">
        <w:rPr>
          <w:rFonts w:eastAsia="標楷體" w:hint="eastAsia"/>
          <w:color w:val="000000"/>
          <w:sz w:val="20"/>
        </w:rPr>
        <w:t>高醫稽核字第</w:t>
      </w:r>
      <w:r w:rsidRPr="00721C3C">
        <w:rPr>
          <w:rFonts w:eastAsia="標楷體" w:hint="eastAsia"/>
          <w:color w:val="000000"/>
          <w:sz w:val="20"/>
        </w:rPr>
        <w:t>1051100077</w:t>
      </w:r>
      <w:r w:rsidRPr="00721C3C">
        <w:rPr>
          <w:rFonts w:eastAsia="標楷體" w:hint="eastAsia"/>
          <w:color w:val="000000"/>
          <w:sz w:val="20"/>
        </w:rPr>
        <w:t>號</w:t>
      </w:r>
      <w:r>
        <w:rPr>
          <w:rFonts w:eastAsia="標楷體" w:hint="eastAsia"/>
          <w:color w:val="000000"/>
          <w:sz w:val="20"/>
        </w:rPr>
        <w:t>公布</w:t>
      </w:r>
    </w:p>
    <w:p w:rsidR="00536C96" w:rsidRPr="008A730A" w:rsidRDefault="00536C96" w:rsidP="00536C96">
      <w:pPr>
        <w:ind w:leftChars="1600" w:left="3840"/>
        <w:rPr>
          <w:rFonts w:eastAsia="標楷體"/>
          <w:color w:val="0070C0"/>
          <w:sz w:val="20"/>
        </w:rPr>
      </w:pPr>
    </w:p>
    <w:p w:rsidR="00536C96" w:rsidRPr="00903CC8" w:rsidRDefault="00536C96" w:rsidP="00536C96">
      <w:pPr>
        <w:pStyle w:val="a3"/>
        <w:numPr>
          <w:ilvl w:val="0"/>
          <w:numId w:val="1"/>
        </w:numPr>
        <w:ind w:leftChars="0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高雄醫學大學（以下簡稱本校）為合理保障其營運效能之提升、資產之安全及財務報導之可靠性及相關法令之遵循，依據教育部所訂「學校財團法人及所設私立學校內部控制制度實施辦法」建立內部控制制度（以下簡稱本制度）。</w:t>
      </w:r>
    </w:p>
    <w:p w:rsidR="00536C96" w:rsidRPr="00903CC8" w:rsidRDefault="00536C96" w:rsidP="00536C96">
      <w:pPr>
        <w:pStyle w:val="a3"/>
        <w:ind w:leftChars="0" w:left="915"/>
        <w:rPr>
          <w:rFonts w:eastAsia="標楷體"/>
          <w:color w:val="000000"/>
        </w:rPr>
      </w:pPr>
    </w:p>
    <w:p w:rsidR="00536C96" w:rsidRPr="00903CC8" w:rsidRDefault="00536C96" w:rsidP="00536C96">
      <w:pPr>
        <w:pStyle w:val="a3"/>
        <w:widowControl w:val="0"/>
        <w:numPr>
          <w:ilvl w:val="0"/>
          <w:numId w:val="1"/>
        </w:numPr>
        <w:ind w:leftChars="0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本制度之實施範圍，包括人事、財務、學校營運等重要事項，並應訂定相關作業程序、內部控制點及稽核作業規範。</w:t>
      </w:r>
    </w:p>
    <w:p w:rsidR="00536C96" w:rsidRPr="00903CC8" w:rsidRDefault="00536C96" w:rsidP="00536C96">
      <w:pPr>
        <w:pStyle w:val="a3"/>
        <w:rPr>
          <w:rFonts w:eastAsia="標楷體"/>
          <w:color w:val="000000"/>
        </w:rPr>
      </w:pPr>
    </w:p>
    <w:p w:rsidR="00536C96" w:rsidRPr="00903CC8" w:rsidRDefault="00536C96" w:rsidP="00536C96">
      <w:pPr>
        <w:pStyle w:val="a3"/>
        <w:widowControl w:val="0"/>
        <w:numPr>
          <w:ilvl w:val="0"/>
          <w:numId w:val="1"/>
        </w:numPr>
        <w:ind w:leftChars="0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本校單位之設立及主管之設置，應依相關規章建立內部組織架構，並載明各級主管之設置、職稱、職權範圍、聘</w:t>
      </w:r>
      <w:r w:rsidRPr="00903CC8">
        <w:rPr>
          <w:rFonts w:eastAsia="標楷體"/>
          <w:color w:val="000000"/>
        </w:rPr>
        <w:t>(</w:t>
      </w:r>
      <w:r w:rsidRPr="00903CC8">
        <w:rPr>
          <w:rFonts w:eastAsia="標楷體"/>
          <w:color w:val="000000"/>
        </w:rPr>
        <w:t>兼</w:t>
      </w:r>
      <w:r w:rsidRPr="00903CC8">
        <w:rPr>
          <w:rFonts w:eastAsia="標楷體"/>
          <w:color w:val="000000"/>
        </w:rPr>
        <w:t>)</w:t>
      </w:r>
      <w:r w:rsidRPr="00903CC8">
        <w:rPr>
          <w:rFonts w:eastAsia="標楷體"/>
          <w:color w:val="000000"/>
        </w:rPr>
        <w:t>任、解聘及解任等事項。</w:t>
      </w:r>
    </w:p>
    <w:p w:rsidR="00536C96" w:rsidRPr="00903CC8" w:rsidRDefault="00536C96" w:rsidP="00536C96">
      <w:pPr>
        <w:pStyle w:val="a3"/>
        <w:rPr>
          <w:rFonts w:eastAsia="標楷體"/>
          <w:color w:val="000000"/>
        </w:rPr>
      </w:pPr>
    </w:p>
    <w:p w:rsidR="00536C96" w:rsidRPr="00903CC8" w:rsidRDefault="00536C96" w:rsidP="00536C96">
      <w:pPr>
        <w:pStyle w:val="a3"/>
        <w:widowControl w:val="0"/>
        <w:numPr>
          <w:ilvl w:val="0"/>
          <w:numId w:val="1"/>
        </w:numPr>
        <w:ind w:leftChars="0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本校應就下列教職員工之人事事項，訂定作業程序、內部控制點及稽核作業規範：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2"/>
        </w:numPr>
        <w:ind w:leftChars="0" w:left="1418" w:hanging="503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聘</w:t>
      </w:r>
      <w:r>
        <w:rPr>
          <w:rFonts w:eastAsia="標楷體" w:hint="eastAsia"/>
          <w:color w:val="000000"/>
        </w:rPr>
        <w:t>僱</w:t>
      </w:r>
      <w:r w:rsidRPr="00903CC8">
        <w:rPr>
          <w:rFonts w:eastAsia="標楷體"/>
          <w:color w:val="000000"/>
        </w:rPr>
        <w:t>、敘薪、待遇、福利、保險、退休、資遣及撫卹。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2"/>
        </w:numPr>
        <w:ind w:leftChars="0" w:left="1418" w:hanging="503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出勤、差假、訓練、進修、研究、考核及獎懲。</w:t>
      </w:r>
    </w:p>
    <w:p w:rsidR="00536C96" w:rsidRPr="00903CC8" w:rsidRDefault="00536C96" w:rsidP="00536C96">
      <w:pPr>
        <w:pStyle w:val="a3"/>
        <w:ind w:leftChars="0" w:left="1635"/>
        <w:rPr>
          <w:rFonts w:eastAsia="標楷體"/>
          <w:color w:val="000000"/>
        </w:rPr>
      </w:pPr>
    </w:p>
    <w:p w:rsidR="00536C96" w:rsidRPr="00903CC8" w:rsidRDefault="00536C96" w:rsidP="00536C96">
      <w:pPr>
        <w:pStyle w:val="a3"/>
        <w:ind w:leftChars="-29" w:left="780" w:hangingChars="354" w:hanging="850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第五條</w:t>
      </w:r>
      <w:r w:rsidRPr="00903CC8">
        <w:rPr>
          <w:rFonts w:eastAsia="標楷體"/>
          <w:color w:val="000000"/>
        </w:rPr>
        <w:t xml:space="preserve"> </w:t>
      </w:r>
      <w:r w:rsidRPr="00903CC8">
        <w:rPr>
          <w:rFonts w:eastAsia="標楷體"/>
          <w:color w:val="000000"/>
        </w:rPr>
        <w:t>本校應就下列財務事項，訂定作業程序、內部控制點及稽核作業規範：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3"/>
        </w:numPr>
        <w:ind w:leftChars="0" w:left="1418" w:hanging="567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投資有價證券與其他投資之決策、買賣、保管及記錄。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3"/>
        </w:numPr>
        <w:ind w:leftChars="0" w:left="1418" w:hanging="567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不動產之處分、設定負擔、購置或出租。動產之購置及附屬機構之設立、相關事業之辦理。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3"/>
        </w:numPr>
        <w:ind w:leftChars="0" w:left="1418" w:hanging="567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募款、收受捐贈、借款、資本租賃之決策、執行及記錄。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3"/>
        </w:numPr>
        <w:ind w:leftChars="0" w:left="1418" w:hanging="567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負債承諾、或有事項之管理及記錄。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3"/>
        </w:numPr>
        <w:ind w:leftChars="0" w:left="1418" w:hanging="567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獎補助款之收支、管理、執行及記錄。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3"/>
        </w:numPr>
        <w:ind w:leftChars="0" w:left="1418" w:hanging="567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代收款項與其他收支之審核、收支、管理及記錄。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3"/>
        </w:numPr>
        <w:ind w:leftChars="0" w:left="1418" w:hanging="567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預算與決算之編製，財務與非財務資訊之揭露。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3"/>
        </w:numPr>
        <w:ind w:leftChars="0" w:left="1418" w:hanging="567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其他重大財務收支相關事項。</w:t>
      </w:r>
    </w:p>
    <w:p w:rsidR="00536C96" w:rsidRPr="00903CC8" w:rsidRDefault="00536C96" w:rsidP="00536C96">
      <w:pPr>
        <w:pStyle w:val="a3"/>
        <w:ind w:leftChars="0" w:left="1635"/>
        <w:rPr>
          <w:rFonts w:eastAsia="標楷體"/>
          <w:color w:val="000000"/>
        </w:rPr>
      </w:pPr>
    </w:p>
    <w:p w:rsidR="00536C96" w:rsidRPr="00903CC8" w:rsidRDefault="00536C96" w:rsidP="00536C96">
      <w:pPr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第六條</w:t>
      </w:r>
      <w:r w:rsidRPr="00903CC8">
        <w:rPr>
          <w:rFonts w:eastAsia="標楷體"/>
          <w:color w:val="000000"/>
        </w:rPr>
        <w:t xml:space="preserve"> </w:t>
      </w:r>
      <w:r w:rsidRPr="00903CC8">
        <w:rPr>
          <w:rFonts w:eastAsia="標楷體"/>
          <w:color w:val="000000"/>
        </w:rPr>
        <w:t>本校應就下列營運事項，訂定作業程序、內部控制點及稽核作業規範：</w:t>
      </w:r>
    </w:p>
    <w:p w:rsidR="00536C96" w:rsidRPr="00903CC8" w:rsidRDefault="00536C96" w:rsidP="00536C96">
      <w:pPr>
        <w:ind w:leftChars="355" w:left="1841" w:hangingChars="412" w:hanging="989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ㄧ、教學事項。</w:t>
      </w:r>
      <w:r w:rsidRPr="00903CC8">
        <w:rPr>
          <w:rFonts w:eastAsia="標楷體"/>
          <w:color w:val="000000"/>
        </w:rPr>
        <w:t xml:space="preserve"> </w:t>
      </w:r>
    </w:p>
    <w:p w:rsidR="00536C96" w:rsidRPr="00903CC8" w:rsidRDefault="00536C96" w:rsidP="00536C96">
      <w:pPr>
        <w:ind w:leftChars="355" w:left="1841" w:hangingChars="412" w:hanging="989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二、學生事項。</w:t>
      </w:r>
      <w:r w:rsidRPr="00903CC8">
        <w:rPr>
          <w:rFonts w:eastAsia="標楷體"/>
          <w:color w:val="000000"/>
        </w:rPr>
        <w:t xml:space="preserve"> </w:t>
      </w:r>
    </w:p>
    <w:p w:rsidR="00536C96" w:rsidRPr="00903CC8" w:rsidRDefault="00536C96" w:rsidP="00536C96">
      <w:pPr>
        <w:ind w:leftChars="355" w:left="1841" w:hangingChars="412" w:hanging="989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三、總務事項。</w:t>
      </w:r>
      <w:r w:rsidRPr="00903CC8">
        <w:rPr>
          <w:rFonts w:eastAsia="標楷體"/>
          <w:color w:val="000000"/>
        </w:rPr>
        <w:t xml:space="preserve"> </w:t>
      </w:r>
    </w:p>
    <w:p w:rsidR="00536C96" w:rsidRPr="00903CC8" w:rsidRDefault="00536C96" w:rsidP="00536C96">
      <w:pPr>
        <w:ind w:leftChars="355" w:left="1841" w:hangingChars="412" w:hanging="989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lastRenderedPageBreak/>
        <w:t>四、研究發展事項。</w:t>
      </w:r>
      <w:r w:rsidRPr="00903CC8">
        <w:rPr>
          <w:rFonts w:eastAsia="標楷體"/>
          <w:color w:val="000000"/>
        </w:rPr>
        <w:t xml:space="preserve"> </w:t>
      </w:r>
    </w:p>
    <w:p w:rsidR="00536C96" w:rsidRPr="00903CC8" w:rsidRDefault="00536C96" w:rsidP="00536C96">
      <w:pPr>
        <w:ind w:leftChars="355" w:left="1841" w:hangingChars="412" w:hanging="989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五、產學合作事項。</w:t>
      </w:r>
    </w:p>
    <w:p w:rsidR="00536C96" w:rsidRPr="00903CC8" w:rsidRDefault="00536C96" w:rsidP="00536C96">
      <w:pPr>
        <w:ind w:leftChars="355" w:left="1841" w:hangingChars="412" w:hanging="989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六、國際交流及合作事項。</w:t>
      </w:r>
      <w:r w:rsidRPr="00903CC8">
        <w:rPr>
          <w:rFonts w:eastAsia="標楷體"/>
          <w:color w:val="000000"/>
        </w:rPr>
        <w:t xml:space="preserve"> </w:t>
      </w:r>
    </w:p>
    <w:p w:rsidR="00536C96" w:rsidRPr="00903CC8" w:rsidRDefault="00536C96" w:rsidP="00536C96">
      <w:pPr>
        <w:ind w:leftChars="355" w:left="1841" w:hangingChars="412" w:hanging="989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七、資訊處理事項。</w:t>
      </w:r>
      <w:r w:rsidRPr="00903CC8">
        <w:rPr>
          <w:rFonts w:eastAsia="標楷體"/>
          <w:color w:val="000000"/>
        </w:rPr>
        <w:t xml:space="preserve"> </w:t>
      </w:r>
    </w:p>
    <w:p w:rsidR="00536C96" w:rsidRPr="00903CC8" w:rsidRDefault="00536C96" w:rsidP="00536C96">
      <w:pPr>
        <w:ind w:leftChars="355" w:left="1841" w:hangingChars="412" w:hanging="989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八、其他營運事項。</w:t>
      </w:r>
      <w:r w:rsidRPr="00903CC8">
        <w:rPr>
          <w:rFonts w:eastAsia="標楷體"/>
          <w:color w:val="000000"/>
        </w:rPr>
        <w:t xml:space="preserve"> </w:t>
      </w:r>
    </w:p>
    <w:p w:rsidR="00536C96" w:rsidRPr="00903CC8" w:rsidRDefault="00536C96" w:rsidP="00536C96">
      <w:pPr>
        <w:pStyle w:val="a3"/>
        <w:ind w:leftChars="0" w:left="1635"/>
        <w:rPr>
          <w:rFonts w:eastAsia="標楷體"/>
          <w:color w:val="000000"/>
        </w:rPr>
      </w:pPr>
    </w:p>
    <w:p w:rsidR="00536C96" w:rsidRPr="00903CC8" w:rsidRDefault="00536C96" w:rsidP="00536C96">
      <w:pPr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第七條</w:t>
      </w:r>
      <w:r w:rsidRPr="00903CC8">
        <w:rPr>
          <w:rFonts w:eastAsia="標楷體"/>
          <w:color w:val="000000"/>
        </w:rPr>
        <w:t xml:space="preserve"> </w:t>
      </w:r>
      <w:r w:rsidRPr="00903CC8">
        <w:rPr>
          <w:rFonts w:eastAsia="標楷體"/>
          <w:color w:val="000000"/>
        </w:rPr>
        <w:t>本校應就關係人交易，訂定作業程序、內部控制點及稽核作業規範。</w:t>
      </w:r>
    </w:p>
    <w:p w:rsidR="00536C96" w:rsidRPr="00903CC8" w:rsidRDefault="00536C96" w:rsidP="00536C96">
      <w:pPr>
        <w:ind w:leftChars="354" w:left="850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前項關係人交易，指本校與下列自然人或法人間之買賣、租賃、資金借入行為：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4"/>
        </w:numPr>
        <w:ind w:leftChars="0" w:left="1418" w:hanging="503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董事、監察人或校長。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4"/>
        </w:numPr>
        <w:ind w:leftChars="0" w:left="1418" w:hanging="503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董事、監察人或校長之配偶。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4"/>
        </w:numPr>
        <w:ind w:leftChars="0" w:left="1418" w:hanging="503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董事、監察人或校長之二親等以內親屬。</w:t>
      </w:r>
    </w:p>
    <w:p w:rsidR="00536C96" w:rsidRPr="00903CC8" w:rsidRDefault="00536C96" w:rsidP="00536C96">
      <w:pPr>
        <w:pStyle w:val="a3"/>
        <w:widowControl w:val="0"/>
        <w:numPr>
          <w:ilvl w:val="0"/>
          <w:numId w:val="4"/>
        </w:numPr>
        <w:ind w:leftChars="0" w:left="1418" w:hanging="503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由學校法人董事、監察人所擔任董</w:t>
      </w:r>
      <w:r w:rsidRPr="00903CC8">
        <w:rPr>
          <w:rFonts w:eastAsia="標楷體"/>
          <w:color w:val="000000"/>
        </w:rPr>
        <w:t>(</w:t>
      </w:r>
      <w:r w:rsidRPr="00903CC8">
        <w:rPr>
          <w:rFonts w:eastAsia="標楷體"/>
          <w:color w:val="000000"/>
        </w:rPr>
        <w:t>理</w:t>
      </w:r>
      <w:r w:rsidRPr="00903CC8">
        <w:rPr>
          <w:rFonts w:eastAsia="標楷體"/>
          <w:color w:val="000000"/>
        </w:rPr>
        <w:t>)</w:t>
      </w:r>
      <w:r w:rsidRPr="00903CC8">
        <w:rPr>
          <w:rFonts w:eastAsia="標楷體"/>
          <w:color w:val="000000"/>
        </w:rPr>
        <w:t>事長之法人。</w:t>
      </w:r>
    </w:p>
    <w:p w:rsidR="00536C96" w:rsidRDefault="00536C96" w:rsidP="00536C96">
      <w:pPr>
        <w:pStyle w:val="a3"/>
        <w:widowControl w:val="0"/>
        <w:numPr>
          <w:ilvl w:val="0"/>
          <w:numId w:val="4"/>
        </w:numPr>
        <w:ind w:leftChars="0" w:left="1418" w:hanging="503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其董</w:t>
      </w:r>
      <w:r w:rsidRPr="00903CC8">
        <w:rPr>
          <w:rFonts w:eastAsia="標楷體"/>
          <w:color w:val="000000"/>
        </w:rPr>
        <w:t>(</w:t>
      </w:r>
      <w:r w:rsidRPr="00903CC8">
        <w:rPr>
          <w:rFonts w:eastAsia="標楷體"/>
          <w:color w:val="000000"/>
        </w:rPr>
        <w:t>理</w:t>
      </w:r>
      <w:r w:rsidRPr="00903CC8">
        <w:rPr>
          <w:rFonts w:eastAsia="標楷體"/>
          <w:color w:val="000000"/>
        </w:rPr>
        <w:t>)</w:t>
      </w:r>
      <w:r w:rsidRPr="00903CC8">
        <w:rPr>
          <w:rFonts w:eastAsia="標楷體"/>
          <w:color w:val="000000"/>
        </w:rPr>
        <w:t>事、監察人</w:t>
      </w:r>
      <w:r w:rsidRPr="00903CC8">
        <w:rPr>
          <w:rFonts w:eastAsia="標楷體"/>
          <w:color w:val="000000"/>
        </w:rPr>
        <w:t>(</w:t>
      </w:r>
      <w:r w:rsidRPr="00903CC8">
        <w:rPr>
          <w:rFonts w:eastAsia="標楷體"/>
          <w:color w:val="000000"/>
        </w:rPr>
        <w:t>監事</w:t>
      </w:r>
      <w:r w:rsidRPr="00903CC8">
        <w:rPr>
          <w:rFonts w:eastAsia="標楷體"/>
          <w:color w:val="000000"/>
        </w:rPr>
        <w:t>)</w:t>
      </w:r>
      <w:r w:rsidRPr="00903CC8">
        <w:rPr>
          <w:rFonts w:eastAsia="標楷體"/>
          <w:color w:val="000000"/>
        </w:rPr>
        <w:t>與學校法人董事有二分之一以上相同之法人。</w:t>
      </w:r>
    </w:p>
    <w:p w:rsidR="00536C96" w:rsidRPr="00903CC8" w:rsidRDefault="00536C96" w:rsidP="00536C96">
      <w:pPr>
        <w:pStyle w:val="a3"/>
        <w:widowControl w:val="0"/>
        <w:ind w:leftChars="0" w:left="1418"/>
        <w:rPr>
          <w:rFonts w:eastAsia="標楷體"/>
          <w:color w:val="000000"/>
        </w:rPr>
      </w:pPr>
    </w:p>
    <w:p w:rsidR="00536C96" w:rsidRPr="00903CC8" w:rsidRDefault="00536C96" w:rsidP="00536C96">
      <w:pPr>
        <w:ind w:left="850" w:hangingChars="354" w:hanging="850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第八條</w:t>
      </w:r>
      <w:r w:rsidRPr="00903CC8">
        <w:rPr>
          <w:rFonts w:eastAsia="標楷體"/>
          <w:color w:val="000000"/>
        </w:rPr>
        <w:t xml:space="preserve"> </w:t>
      </w:r>
      <w:r w:rsidRPr="00903CC8">
        <w:rPr>
          <w:rFonts w:eastAsia="標楷體"/>
          <w:color w:val="000000"/>
        </w:rPr>
        <w:t>本校各單位應建立並製定相關業務之內部控制作業文件，經單位主管核准，會簽稽核室審查，陳請校長核定，</w:t>
      </w:r>
      <w:r>
        <w:rPr>
          <w:rFonts w:eastAsia="標楷體" w:hint="eastAsia"/>
          <w:color w:val="000000"/>
        </w:rPr>
        <w:t>經董事會議審議通過後實施</w:t>
      </w:r>
      <w:r w:rsidRPr="00903CC8">
        <w:rPr>
          <w:rFonts w:eastAsia="標楷體"/>
          <w:color w:val="000000"/>
        </w:rPr>
        <w:t>，其修正或廢止時亦同。</w:t>
      </w:r>
    </w:p>
    <w:p w:rsidR="00536C96" w:rsidRPr="00903CC8" w:rsidRDefault="00536C96" w:rsidP="00536C96">
      <w:pPr>
        <w:pStyle w:val="a3"/>
        <w:ind w:leftChars="0" w:left="915"/>
        <w:rPr>
          <w:rFonts w:eastAsia="標楷體"/>
          <w:color w:val="000000"/>
        </w:rPr>
      </w:pPr>
    </w:p>
    <w:p w:rsidR="00536C96" w:rsidRPr="00903CC8" w:rsidRDefault="00536C96" w:rsidP="00536C96">
      <w:pPr>
        <w:ind w:left="850" w:hangingChars="354" w:hanging="850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第九條</w:t>
      </w:r>
      <w:r w:rsidRPr="00903CC8">
        <w:rPr>
          <w:rFonts w:eastAsia="標楷體"/>
          <w:color w:val="000000"/>
        </w:rPr>
        <w:t xml:space="preserve"> </w:t>
      </w:r>
      <w:r w:rsidRPr="00903CC8">
        <w:rPr>
          <w:rFonts w:eastAsia="標楷體"/>
          <w:color w:val="000000"/>
        </w:rPr>
        <w:t>本校應實施內部稽核，以協助校長檢核本制度之有效程度衡量學校營運之有效程度，衡量學校營運之效果及效率，適時提供改進建議，確保本制度得以持續並有效實施。本校內部稽核實施細則另訂之。</w:t>
      </w:r>
    </w:p>
    <w:p w:rsidR="00536C96" w:rsidRPr="00903CC8" w:rsidRDefault="00536C96" w:rsidP="00536C96">
      <w:pPr>
        <w:ind w:left="850" w:hangingChars="354" w:hanging="850"/>
        <w:rPr>
          <w:rFonts w:eastAsia="標楷體"/>
          <w:color w:val="000000"/>
        </w:rPr>
      </w:pPr>
    </w:p>
    <w:p w:rsidR="00536C96" w:rsidRPr="00903CC8" w:rsidRDefault="00536C96" w:rsidP="00536C96">
      <w:pPr>
        <w:ind w:leftChars="-1" w:left="850" w:hangingChars="355" w:hanging="852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第十條</w:t>
      </w:r>
      <w:r w:rsidRPr="00903CC8">
        <w:rPr>
          <w:rFonts w:eastAsia="標楷體"/>
          <w:color w:val="000000"/>
        </w:rPr>
        <w:t xml:space="preserve"> </w:t>
      </w:r>
      <w:r w:rsidRPr="00903CC8">
        <w:rPr>
          <w:rFonts w:eastAsia="標楷體"/>
          <w:color w:val="000000"/>
        </w:rPr>
        <w:t>本校附屬機構及相關事業，應比照本辦法建立內部控制制度及實施內部稽核，並定期檢討及修正之。</w:t>
      </w:r>
    </w:p>
    <w:p w:rsidR="00536C96" w:rsidRPr="00903CC8" w:rsidRDefault="00536C96" w:rsidP="00536C96">
      <w:pPr>
        <w:ind w:left="1046" w:hangingChars="436" w:hanging="1046"/>
        <w:rPr>
          <w:rFonts w:eastAsia="標楷體"/>
          <w:color w:val="000000"/>
        </w:rPr>
      </w:pPr>
    </w:p>
    <w:p w:rsidR="00536C96" w:rsidRPr="00903CC8" w:rsidRDefault="00536C96" w:rsidP="00536C96">
      <w:pPr>
        <w:ind w:left="1046" w:hangingChars="436" w:hanging="1046"/>
        <w:rPr>
          <w:rFonts w:eastAsia="標楷體"/>
          <w:color w:val="000000"/>
        </w:rPr>
      </w:pPr>
      <w:r w:rsidRPr="00903CC8">
        <w:rPr>
          <w:rFonts w:eastAsia="標楷體"/>
          <w:color w:val="000000"/>
        </w:rPr>
        <w:t>第十一條</w:t>
      </w:r>
      <w:r w:rsidRPr="00903CC8">
        <w:rPr>
          <w:rFonts w:eastAsia="標楷體"/>
          <w:color w:val="000000"/>
        </w:rPr>
        <w:t xml:space="preserve"> </w:t>
      </w:r>
      <w:r w:rsidRPr="00903CC8">
        <w:rPr>
          <w:rFonts w:eastAsia="標楷體"/>
          <w:color w:val="000000"/>
        </w:rPr>
        <w:t>本辦法經校務會議通過，提請董事會議通過後實施，修正時亦同。</w:t>
      </w:r>
    </w:p>
    <w:p w:rsidR="00536C96" w:rsidRPr="00903CC8" w:rsidRDefault="00536C96" w:rsidP="00536C96">
      <w:pPr>
        <w:widowControl/>
        <w:rPr>
          <w:rFonts w:eastAsia="標楷體"/>
          <w:b/>
          <w:color w:val="000000"/>
        </w:rPr>
      </w:pPr>
      <w:bookmarkStart w:id="0" w:name="_GoBack"/>
      <w:bookmarkEnd w:id="0"/>
    </w:p>
    <w:sectPr w:rsidR="00536C96" w:rsidRPr="00903C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68" w:rsidRDefault="00430068" w:rsidP="00721C3C">
      <w:r>
        <w:separator/>
      </w:r>
    </w:p>
  </w:endnote>
  <w:endnote w:type="continuationSeparator" w:id="0">
    <w:p w:rsidR="00430068" w:rsidRDefault="00430068" w:rsidP="0072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68" w:rsidRDefault="00430068" w:rsidP="00721C3C">
      <w:r>
        <w:separator/>
      </w:r>
    </w:p>
  </w:footnote>
  <w:footnote w:type="continuationSeparator" w:id="0">
    <w:p w:rsidR="00430068" w:rsidRDefault="00430068" w:rsidP="0072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57AF"/>
    <w:multiLevelType w:val="hybridMultilevel"/>
    <w:tmpl w:val="DDFEEABC"/>
    <w:lvl w:ilvl="0" w:tplc="B734FA88">
      <w:start w:val="1"/>
      <w:numFmt w:val="taiwaneseCountingThousand"/>
      <w:lvlText w:val="%1、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" w15:restartNumberingAfterBreak="0">
    <w:nsid w:val="29891CF3"/>
    <w:multiLevelType w:val="hybridMultilevel"/>
    <w:tmpl w:val="2190FFE8"/>
    <w:lvl w:ilvl="0" w:tplc="B734FA88">
      <w:start w:val="1"/>
      <w:numFmt w:val="taiwaneseCountingThousand"/>
      <w:lvlText w:val="%1、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2" w15:restartNumberingAfterBreak="0">
    <w:nsid w:val="54C00A9F"/>
    <w:multiLevelType w:val="hybridMultilevel"/>
    <w:tmpl w:val="A260CDCA"/>
    <w:lvl w:ilvl="0" w:tplc="EF564A40">
      <w:start w:val="1"/>
      <w:numFmt w:val="taiwaneseCountingThousand"/>
      <w:lvlText w:val="第%1條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9C4B95"/>
    <w:multiLevelType w:val="hybridMultilevel"/>
    <w:tmpl w:val="F766AC70"/>
    <w:lvl w:ilvl="0" w:tplc="B734FA88">
      <w:start w:val="1"/>
      <w:numFmt w:val="taiwaneseCountingThousand"/>
      <w:lvlText w:val="%1、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96"/>
    <w:rsid w:val="0009342D"/>
    <w:rsid w:val="00430068"/>
    <w:rsid w:val="00536C96"/>
    <w:rsid w:val="00721C3C"/>
    <w:rsid w:val="00AE4FEE"/>
    <w:rsid w:val="00F0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D5FCA9-0B7D-4901-8843-4ADD9BCD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C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96"/>
    <w:pPr>
      <w:widowControl/>
      <w:ind w:leftChars="200" w:left="480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72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C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C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sec</cp:lastModifiedBy>
  <cp:revision>3</cp:revision>
  <dcterms:created xsi:type="dcterms:W3CDTF">2016-01-11T03:59:00Z</dcterms:created>
  <dcterms:modified xsi:type="dcterms:W3CDTF">2016-01-20T01:42:00Z</dcterms:modified>
</cp:coreProperties>
</file>