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sdt>
        <w:sdtPr>
          <w:tag w:val="goog_rdk_0"/>
        </w:sdtPr>
        <w:sdtContent>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高雄醫學大學毒性及關注化學物質管理委員會設置辦法</w:t>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Kaohsiung Medical University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Regulations for Establishment of Toxic and Concerned Chemical Substances Management Committee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104.05.14  103學年度第10次行政會議通過</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104.09.01  高醫環安字第1041102696號函公布</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106.03.09  105學年度第8次行政會議通過</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111.05.12  110學年度第10次行政會議通過</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14, 2015</w:t>
        <w:tab/>
        <w:tab/>
        <w:t xml:space="preserve">Passed by the 10th Administrative Meeting in Academic Year 2014-2015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1, 2015</w:t>
        <w:tab/>
        <w:t xml:space="preserve">Promulgated via the KMU official letter Huan An Tzu No. 1041102696</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9, 2017</w:t>
        <w:tab/>
        <w:tab/>
        <w:t xml:space="preserve">Passed by the 8th Administrative Meeting in Academic Year 2016-2017</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12, 2022</w:t>
        <w:tab/>
        <w:tab/>
        <w:t xml:space="preserve">Passed by the 10th Administrative Meeting in Academic Year 2021-2022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9081"/>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9781.0" w:type="dxa"/>
        <w:jc w:val="left"/>
        <w:tblLayout w:type="fixed"/>
        <w:tblLook w:val="0000"/>
      </w:tblPr>
      <w:tblGrid>
        <w:gridCol w:w="1276"/>
        <w:gridCol w:w="8505"/>
        <w:tblGridChange w:id="0">
          <w:tblGrid>
            <w:gridCol w:w="1276"/>
            <w:gridCol w:w="8505"/>
          </w:tblGrid>
        </w:tblGridChange>
      </w:tblGrid>
      <w:tr>
        <w:trPr>
          <w:cantSplit w:val="0"/>
          <w:tblHeader w:val="0"/>
        </w:trPr>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第1條</w:t>
                </w:r>
              </w:sdtContent>
            </w:sdt>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w:t>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本校為有效管理毒性</w:t>
                </w:r>
              </w:sdtContent>
            </w:sdt>
            <w:sdt>
              <w:sdtPr>
                <w:tag w:val="goog_rdk_7"/>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化學物質，防止汙染周遭環境，保障教職員工生之安全與健康，依學術機構毒性</w:t>
                </w:r>
              </w:sdtContent>
            </w:sdt>
            <w:sdt>
              <w:sdtPr>
                <w:tag w:val="goog_rdk_9"/>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1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化學物質管理辦法</w:t>
                </w:r>
              </w:sdtContent>
            </w:sdt>
            <w:sdt>
              <w:sdtPr>
                <w:tag w:val="goog_rdk_11"/>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第4條</w:t>
                </w:r>
              </w:sdtContent>
            </w:sdt>
            <w:sdt>
              <w:sdtPr>
                <w:tag w:val="goog_rdk_1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之規定，設置高雄醫學大學毒性</w:t>
                </w:r>
              </w:sdtContent>
            </w:sdt>
            <w:sdt>
              <w:sdtPr>
                <w:tag w:val="goog_rdk_13"/>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1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化學物質管理委員會（以下簡稱本委員會），並訂定本辦法。</w:t>
                </w:r>
              </w:sdtContent>
            </w:sdt>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Kaohsiung Medical University (KMU) establishes the KMU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Management Committee (TCCSMC) and formulates the KMU Regulations for Establishment of Toxic and Concerned Chemical Substances Management Committee in accordance with </w:t>
            </w:r>
            <w:r w:rsidDel="00000000" w:rsidR="00000000" w:rsidRPr="00000000">
              <w:rPr>
                <w:rFonts w:ascii="Times New Roman" w:cs="Times New Roman" w:eastAsia="Times New Roman" w:hAnsi="Times New Roman"/>
                <w:sz w:val="24"/>
                <w:szCs w:val="24"/>
                <w:u w:val="single"/>
                <w:rtl w:val="0"/>
              </w:rPr>
              <w:t xml:space="preserve">Article 4</w:t>
            </w:r>
            <w:r w:rsidDel="00000000" w:rsidR="00000000" w:rsidRPr="00000000">
              <w:rPr>
                <w:rFonts w:ascii="Times New Roman" w:cs="Times New Roman" w:eastAsia="Times New Roman" w:hAnsi="Times New Roman"/>
                <w:sz w:val="24"/>
                <w:szCs w:val="24"/>
                <w:rtl w:val="0"/>
              </w:rPr>
              <w:t xml:space="preserve"> of the Regulations Governing Management of Toxic </w:t>
            </w:r>
            <w:r w:rsidDel="00000000" w:rsidR="00000000" w:rsidRPr="00000000">
              <w:rPr>
                <w:rFonts w:ascii="Times New Roman" w:cs="Times New Roman" w:eastAsia="Times New Roman" w:hAnsi="Times New Roman"/>
                <w:sz w:val="24"/>
                <w:szCs w:val="24"/>
                <w:u w:val="single"/>
                <w:rtl w:val="0"/>
              </w:rPr>
              <w:t xml:space="preserve">and Concerned </w:t>
            </w:r>
            <w:r w:rsidDel="00000000" w:rsidR="00000000" w:rsidRPr="00000000">
              <w:rPr>
                <w:rFonts w:ascii="Times New Roman" w:cs="Times New Roman" w:eastAsia="Times New Roman" w:hAnsi="Times New Roman"/>
                <w:sz w:val="24"/>
                <w:szCs w:val="24"/>
                <w:rtl w:val="0"/>
              </w:rPr>
              <w:t xml:space="preserve">Chemical Substances at Academic Institutions to effectively manage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prevent contamination of the surrounding environment, and protect the safety and health of the faculty, staff, and students.</w:t>
            </w:r>
          </w:p>
        </w:tc>
      </w:tr>
      <w:tr>
        <w:trPr>
          <w:cantSplit w:val="0"/>
          <w:tblHeader w:val="0"/>
        </w:trPr>
        <w:tc>
          <w:tcP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1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第2條</w:t>
                </w:r>
              </w:sdtContent>
            </w:sdt>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w:t>
            </w:r>
          </w:p>
        </w:tc>
        <w:tc>
          <w:tcP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1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本委員會置主任委員一人、委員五至七人、執行秘書一人，其中至少應有二人具備毒性</w:t>
                </w:r>
              </w:sdtContent>
            </w:sdt>
            <w:sdt>
              <w:sdtPr>
                <w:tag w:val="goog_rdk_17"/>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1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化學物質毒理、運作技術及管理專長。主任委員由環</w:t>
                </w:r>
              </w:sdtContent>
            </w:sdt>
            <w:sdt>
              <w:sdtPr>
                <w:tag w:val="goog_rdk_19"/>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境</w:t>
                </w:r>
              </w:sdtContent>
            </w:sdt>
            <w:sdt>
              <w:sdtPr>
                <w:tag w:val="goog_rdk_2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保</w:t>
                </w:r>
              </w:sdtContent>
            </w:sdt>
            <w:sdt>
              <w:sdtPr>
                <w:tag w:val="goog_rdk_21"/>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護</w:t>
                </w:r>
              </w:sdtContent>
            </w:sdt>
            <w:sdt>
              <w:sdtPr>
                <w:tag w:val="goog_rdk_2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暨</w:t>
                </w:r>
              </w:sdtContent>
            </w:sdt>
            <w:sdt>
              <w:sdtPr>
                <w:tag w:val="goog_rdk_23"/>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職業</w:t>
                </w:r>
              </w:sdtContent>
            </w:sdt>
            <w:sdt>
              <w:sdtPr>
                <w:tag w:val="goog_rdk_2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安全衛生室主任兼任之，安全衛生組組長為執行秘書，其餘委員由主任委員就本校具相關專長或技術之專任教師及職員中遴選，提請校長聘任之。</w:t>
                </w:r>
              </w:sdtContent>
            </w:sdt>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TCCSMC shall comprise 5 to 7 members, with one chief executive and one executive secretary; at least 2 of them shall be specialized in toxicology, operational technology, and management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The chief executive position shall be held concurrently by the Director of the Office of Environmental Protection, Occupational Safety and Health, and the Chief of Health and Safety Section shall be the executive secretary. The remaining members shall be selected by the chief executive from KMU’s faculty or staff members with relevant expertise or skill, and nominated to the President for appointment.</w:t>
            </w:r>
          </w:p>
        </w:tc>
      </w:tr>
      <w:tr>
        <w:trPr>
          <w:cantSplit w:val="0"/>
          <w:tblHeader w:val="0"/>
        </w:trPr>
        <w:tc>
          <w:tcP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第3條</w:t>
                </w:r>
              </w:sdtContent>
            </w:sdt>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w:t>
            </w:r>
          </w:p>
        </w:tc>
        <w:tc>
          <w:tcP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本委員會每年開會一次，必要時得召開臨時會議。</w:t>
                </w:r>
              </w:sdtContent>
            </w:sdt>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TCCSMC shall meet once a year; interim meetings may be held when necessary.</w:t>
            </w:r>
          </w:p>
        </w:tc>
      </w:tr>
      <w:tr>
        <w:trPr>
          <w:cantSplit w:val="0"/>
          <w:tblHeader w:val="0"/>
        </w:trPr>
        <w:tc>
          <w:tcP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2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第4條</w:t>
                </w:r>
              </w:sdtContent>
            </w:sdt>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4</w:t>
            </w:r>
          </w:p>
        </w:tc>
        <w:tc>
          <w:tcP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2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本委員會任務如下：</w:t>
                </w:r>
              </w:sdtContent>
            </w:sdt>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TCCSMC’s duties include:</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113" w:right="0" w:hanging="11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2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研議毒性</w:t>
                </w:r>
              </w:sdtContent>
            </w:sdt>
            <w:sdt>
              <w:sdtPr>
                <w:tag w:val="goog_rdk_3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3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化學物質管理策略。</w:t>
                </w:r>
              </w:sdtContent>
            </w:sdt>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Study and review the management strategies for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113" w:right="0" w:hanging="11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3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審議申請單位毒性</w:t>
                </w:r>
              </w:sdtContent>
            </w:sdt>
            <w:sdt>
              <w:sdtPr>
                <w:tag w:val="goog_rdk_33"/>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3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化學物質許可、登記或核可之申請文件。</w:t>
                </w:r>
              </w:sdtContent>
            </w:sdt>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Review the relevant units’ application documents for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permit, registration, or approval.</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624" w:right="0" w:hanging="624"/>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3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各單位運作毒性</w:t>
                </w:r>
              </w:sdtContent>
            </w:sdt>
            <w:sdt>
              <w:sdtPr>
                <w:tag w:val="goog_rdk_36"/>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3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化學物質之監督管理(購買、使用、貯存及廢棄)。</w:t>
                </w:r>
              </w:sdtContent>
            </w:sdt>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Supervision and management of various units in their operation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(purchase, use, storage, and disposal).</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113" w:right="0" w:hanging="11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3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彙整並審核毒性</w:t>
                </w:r>
              </w:sdtContent>
            </w:sdt>
            <w:sdt>
              <w:sdtPr>
                <w:tag w:val="goog_rdk_39"/>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4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化學物質運作紀錄。</w:t>
                </w:r>
              </w:sdtContent>
            </w:sdt>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Compile and review operational records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113" w:right="0" w:hanging="11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4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研議其他毒性</w:t>
                </w:r>
              </w:sdtContent>
            </w:sdt>
            <w:sdt>
              <w:sdtPr>
                <w:tag w:val="goog_rdk_42"/>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4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化學物質相關事項。</w:t>
                </w:r>
              </w:sdtContent>
            </w:sdt>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leader="none" w:pos="600"/>
              </w:tabs>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Study and review other matters pertaining to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w:t>
            </w:r>
          </w:p>
        </w:tc>
      </w:tr>
      <w:tr>
        <w:trPr>
          <w:cantSplit w:val="0"/>
          <w:tblHeader w:val="0"/>
        </w:trPr>
        <w:tc>
          <w:tcP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第5條</w:t>
                </w:r>
              </w:sdtContent>
            </w:sdt>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5</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第6條</w:t>
                </w:r>
              </w:sdtContent>
            </w:sdt>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w:t>
            </w:r>
          </w:p>
        </w:tc>
        <w:tc>
          <w:tcP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本委員會開會時，得經主任委員之核定，邀請有關人員列席。</w:t>
                </w:r>
              </w:sdtContent>
            </w:sdt>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TCCSMC meeting is in session, relevant personnel may be invited to sit in on the meeting with the chief executive’s approval.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本辦法經行政會議審議</w:t>
                </w:r>
              </w:sdtContent>
            </w:sdt>
            <w:sdt>
              <w:sdtPr>
                <w:tag w:val="goog_rdk_48"/>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通過</w:t>
                </w:r>
              </w:sdtContent>
            </w:sdt>
            <w:sdt>
              <w:sdtPr>
                <w:tag w:val="goog_rdk_4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後，</w:t>
                </w:r>
              </w:sdtContent>
            </w:sdt>
            <w:sdt>
              <w:sdtPr>
                <w:tag w:val="goog_rdk_5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自公布日起實施</w:t>
                </w:r>
              </w:sdtContent>
            </w:sdt>
            <w:sdt>
              <w:sdtPr>
                <w:tag w:val="goog_rdk_5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sdt>
              <w:sdtPr>
                <w:tag w:val="goog_rdk_52"/>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修正時亦同</w:t>
                </w:r>
              </w:sdtContent>
            </w:sdt>
            <w:sdt>
              <w:sdtPr>
                <w:tag w:val="goog_rdk_5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2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These Regulations shall be reviewed </w:t>
            </w:r>
            <w:r w:rsidDel="00000000" w:rsidR="00000000" w:rsidRPr="00000000">
              <w:rPr>
                <w:rFonts w:ascii="Times New Roman" w:cs="Times New Roman" w:eastAsia="Times New Roman" w:hAnsi="Times New Roman"/>
                <w:sz w:val="24"/>
                <w:szCs w:val="24"/>
                <w:u w:val="single"/>
                <w:rtl w:val="0"/>
              </w:rPr>
              <w:t xml:space="preserve">and passed</w:t>
            </w:r>
            <w:r w:rsidDel="00000000" w:rsidR="00000000" w:rsidRPr="00000000">
              <w:rPr>
                <w:rFonts w:ascii="Times New Roman" w:cs="Times New Roman" w:eastAsia="Times New Roman" w:hAnsi="Times New Roman"/>
                <w:sz w:val="24"/>
                <w:szCs w:val="24"/>
                <w:rtl w:val="0"/>
              </w:rPr>
              <w:t xml:space="preserve"> by the Administrative Meeting </w:t>
            </w:r>
            <w:r w:rsidDel="00000000" w:rsidR="00000000" w:rsidRPr="00000000">
              <w:rPr>
                <w:rFonts w:ascii="Times New Roman" w:cs="Times New Roman" w:eastAsia="Times New Roman" w:hAnsi="Times New Roman"/>
                <w:sz w:val="24"/>
                <w:szCs w:val="24"/>
                <w:u w:val="single"/>
                <w:rtl w:val="0"/>
              </w:rPr>
              <w:t xml:space="preserve">and then implemented on the date of promulgation and shall apply to subsequent amendments.</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sectPr>
      <w:pgSz w:h="16838" w:w="11906" w:orient="portrait"/>
      <w:pgMar w:bottom="720" w:top="720" w:left="1134"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paragraph" w:styleId="頁首">
    <w:name w:val="頁首"/>
    <w:basedOn w:val="內文"/>
    <w:next w:val="頁首"/>
    <w:autoRedefine w:val="0"/>
    <w:hidden w:val="0"/>
    <w:qFormat w:val="1"/>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paragraph" w:styleId="頁尾">
    <w:name w:val="頁尾"/>
    <w:basedOn w:val="內文"/>
    <w:next w:val="頁尾"/>
    <w:autoRedefine w:val="0"/>
    <w:hidden w:val="0"/>
    <w:qFormat w:val="1"/>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paragraph" w:styleId="註解方塊文字">
    <w:name w:val="註解方塊文字"/>
    <w:basedOn w:val="內文"/>
    <w:next w:val="註解方塊文字"/>
    <w:autoRedefine w:val="0"/>
    <w:hidden w:val="0"/>
    <w:qFormat w:val="1"/>
    <w:pPr>
      <w:widowControl w:val="0"/>
      <w:suppressAutoHyphens w:val="1"/>
      <w:spacing w:line="1" w:lineRule="atLeast"/>
      <w:ind w:leftChars="-1" w:rightChars="0" w:firstLineChars="-1"/>
      <w:textDirection w:val="btLr"/>
      <w:textAlignment w:val="top"/>
      <w:outlineLvl w:val="0"/>
    </w:pPr>
    <w:rPr>
      <w:rFonts w:ascii="Calibri Light" w:cs="Times New Roman" w:eastAsia="新細明體" w:hAnsi="Calibri Light"/>
      <w:w w:val="100"/>
      <w:kern w:val="2"/>
      <w:position w:val="-1"/>
      <w:sz w:val="18"/>
      <w:szCs w:val="18"/>
      <w:effect w:val="none"/>
      <w:vertAlign w:val="baseline"/>
      <w:cs w:val="0"/>
      <w:em w:val="none"/>
      <w:lang w:bidi="ar-SA" w:eastAsia="zh-TW" w:val="en-US"/>
    </w:rPr>
  </w:style>
  <w:style w:type="character" w:styleId="註解方塊文字字元">
    <w:name w:val="註解方塊文字 字元"/>
    <w:next w:val="註解方塊文字字元"/>
    <w:autoRedefine w:val="0"/>
    <w:hidden w:val="0"/>
    <w:qFormat w:val="0"/>
    <w:rPr>
      <w:rFonts w:ascii="Calibri Light" w:cs="Times New Roman" w:eastAsia="新細明體" w:hAnsi="Calibri Light"/>
      <w:w w:val="100"/>
      <w:kern w:val="2"/>
      <w:position w:val="-1"/>
      <w:sz w:val="18"/>
      <w:szCs w:val="18"/>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pylhBMXN1WVN4ynd0z1DePV1Q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DgAciExb18tT1dRWDFGeW1vWVJza2Z4OFVuZlZfblJHcE9iZ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2024-06-14T02:45:00Z</dcterms:created>
  <dc:creator>Admin</dc:creator>
</cp:coreProperties>
</file>